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pStyle w:val="Nadpis1"/>
        <w:numPr>
          <w:ilvl w:val="0"/>
          <w:numId w:val="23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AA738A" w:rsidRDefault="00AA738A" w:rsidP="00ED5747">
      <w:pPr>
        <w:jc w:val="center"/>
      </w:pPr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67191F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2456B9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62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2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prosince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2024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C77E3C" w:rsidRDefault="00C77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2456B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56B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2456B9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7011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886683" w:rsidRDefault="002456B9" w:rsidP="00BB6F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schválila program 62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AB7844" w:rsidRDefault="00AB7844" w:rsidP="005B01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6B9" w:rsidRPr="002456B9" w:rsidRDefault="002456B9" w:rsidP="002456B9">
      <w:pPr>
        <w:pStyle w:val="Zkladntext"/>
        <w:tabs>
          <w:tab w:val="left" w:pos="0"/>
        </w:tabs>
        <w:rPr>
          <w:b/>
          <w:iCs/>
          <w:szCs w:val="24"/>
        </w:rPr>
      </w:pPr>
      <w:r w:rsidRPr="002456B9">
        <w:rPr>
          <w:b/>
          <w:iCs/>
          <w:szCs w:val="24"/>
        </w:rPr>
        <w:t>1.</w:t>
      </w:r>
      <w:r>
        <w:rPr>
          <w:b/>
          <w:iCs/>
          <w:szCs w:val="24"/>
        </w:rPr>
        <w:t xml:space="preserve"> </w:t>
      </w:r>
      <w:r w:rsidRPr="002456B9">
        <w:rPr>
          <w:b/>
          <w:iCs/>
          <w:szCs w:val="24"/>
        </w:rPr>
        <w:t>Host – zástupci Technických služeb Kyjov</w:t>
      </w:r>
      <w:r w:rsidR="0070114A">
        <w:rPr>
          <w:b/>
          <w:iCs/>
          <w:szCs w:val="24"/>
        </w:rPr>
        <w:t xml:space="preserve"> – BOD ODLOŽEN NA DALŠÍ JEDNÁNÍ</w:t>
      </w:r>
    </w:p>
    <w:p w:rsidR="002456B9" w:rsidRDefault="002456B9" w:rsidP="002456B9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456B9">
        <w:rPr>
          <w:b/>
          <w:bCs/>
          <w:iCs/>
        </w:rPr>
        <w:t>2. VH společnosti Lesy města Kyjova</w:t>
      </w:r>
    </w:p>
    <w:p w:rsidR="002456B9" w:rsidRDefault="002456B9" w:rsidP="002456B9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2456B9">
        <w:rPr>
          <w:b/>
          <w:bCs/>
          <w:iCs/>
          <w:szCs w:val="24"/>
        </w:rPr>
        <w:t xml:space="preserve">3. Příprava zastupitelstva </w:t>
      </w:r>
      <w:r>
        <w:rPr>
          <w:b/>
          <w:bCs/>
          <w:iCs/>
          <w:szCs w:val="24"/>
        </w:rPr>
        <w:t>–</w:t>
      </w:r>
      <w:r w:rsidRPr="002456B9">
        <w:rPr>
          <w:b/>
          <w:bCs/>
          <w:iCs/>
          <w:szCs w:val="24"/>
        </w:rPr>
        <w:t xml:space="preserve"> dokončení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62/2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767868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 w:rsidRPr="00A73FE2">
        <w:rPr>
          <w:color w:val="000000" w:themeColor="text1"/>
          <w:szCs w:val="24"/>
        </w:rPr>
        <w:t xml:space="preserve">v souladu s ustanovením § 102 odst. 1 zákona č. 128/2000 Sb., o obcích, ve znění pozdějších předpisů, doporučuje Zastupitelstvu města Kyjova přijmout následující usnesení: Zastupitelstvo města Kyjova v souladu s § 85 písm. a) zák. č. 128/2000 Sb., </w:t>
      </w:r>
      <w:r w:rsidRPr="00A73FE2">
        <w:rPr>
          <w:color w:val="000000" w:themeColor="text1"/>
          <w:szCs w:val="24"/>
        </w:rPr>
        <w:br/>
        <w:t xml:space="preserve">o obcích, ve znění pozdějších předpisů, rozhodlo o bezúplatném nabytí pozemků </w:t>
      </w:r>
      <w:proofErr w:type="spellStart"/>
      <w:r w:rsidRPr="00A73FE2">
        <w:rPr>
          <w:color w:val="000000" w:themeColor="text1"/>
          <w:szCs w:val="24"/>
        </w:rPr>
        <w:t>p.č</w:t>
      </w:r>
      <w:proofErr w:type="spellEnd"/>
      <w:r w:rsidRPr="00A73FE2">
        <w:rPr>
          <w:color w:val="000000" w:themeColor="text1"/>
          <w:szCs w:val="24"/>
        </w:rPr>
        <w:t xml:space="preserve">. 4160/35 – orná půda, a </w:t>
      </w:r>
      <w:proofErr w:type="spellStart"/>
      <w:r w:rsidRPr="00A73FE2">
        <w:rPr>
          <w:color w:val="000000" w:themeColor="text1"/>
          <w:szCs w:val="24"/>
        </w:rPr>
        <w:t>p.č</w:t>
      </w:r>
      <w:proofErr w:type="spellEnd"/>
      <w:r w:rsidRPr="00A73FE2">
        <w:rPr>
          <w:color w:val="000000" w:themeColor="text1"/>
          <w:szCs w:val="24"/>
        </w:rPr>
        <w:t>. 4160/36 – ostatní plocha, ostatní komunikace, oba v </w:t>
      </w:r>
      <w:proofErr w:type="spellStart"/>
      <w:r w:rsidRPr="00A73FE2">
        <w:rPr>
          <w:color w:val="000000" w:themeColor="text1"/>
          <w:szCs w:val="24"/>
        </w:rPr>
        <w:t>k.ú</w:t>
      </w:r>
      <w:proofErr w:type="spellEnd"/>
      <w:r w:rsidRPr="00A73FE2">
        <w:rPr>
          <w:color w:val="000000" w:themeColor="text1"/>
          <w:szCs w:val="24"/>
        </w:rPr>
        <w:t>. Kyjov do vlastnictví města Kyjova a o uzavření smlouvy o bezúplatném převodu pozemků č. 1004992424 mezi Českou Republikou – Státním pozemkovým úřadem, IČ 01312774, se sídlem Husinecká 1024/11a, 130 00 Praha 3 - Žižkov, jako převádějícím, a městem Kyjovem, IČ 00285030, se sídlem Masarykovo náměstí 30, 697 01 Kyjov, jako nabyvatelem.</w:t>
      </w:r>
    </w:p>
    <w:p w:rsidR="002456B9" w:rsidRPr="002456B9" w:rsidRDefault="002456B9" w:rsidP="002456B9">
      <w:pPr>
        <w:pStyle w:val="Zkladntext"/>
        <w:tabs>
          <w:tab w:val="left" w:pos="0"/>
        </w:tabs>
        <w:rPr>
          <w:b/>
          <w:bCs/>
        </w:rPr>
      </w:pPr>
    </w:p>
    <w:p w:rsidR="002456B9" w:rsidRDefault="002456B9" w:rsidP="002456B9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456B9">
        <w:rPr>
          <w:b/>
          <w:bCs/>
          <w:iCs/>
        </w:rPr>
        <w:t>4. Majetkoprávní úkony</w:t>
      </w:r>
    </w:p>
    <w:p w:rsidR="0006518A" w:rsidRPr="0006518A" w:rsidRDefault="0006518A" w:rsidP="0006518A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Ad I. </w:t>
      </w:r>
      <w:r w:rsidRPr="00D620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Zvýšení nájemného/</w:t>
      </w:r>
      <w:proofErr w:type="spellStart"/>
      <w:r w:rsidRPr="00D620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pachtovného</w:t>
      </w:r>
      <w:proofErr w:type="spellEnd"/>
      <w:r w:rsidRPr="00D620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za užívání pozemků města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62/3</w:t>
      </w:r>
    </w:p>
    <w:p w:rsidR="002456B9" w:rsidRPr="0006518A" w:rsidRDefault="00A73FE2" w:rsidP="0006518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767868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6518A" w:rsidRP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06518A">
        <w:rPr>
          <w:color w:val="000000" w:themeColor="text1"/>
          <w:szCs w:val="24"/>
        </w:rPr>
        <w:br/>
        <w:t>ve znění pozdějších předpisů, rozhodla o uzavření dodatků ke smlouvám o nájmu pozemků ve vlastnictví města Kyjova užívaných k umístění billboardů  na těchto pozemcích s těmito subjekty:</w:t>
      </w: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6947"/>
        <w:gridCol w:w="850"/>
        <w:gridCol w:w="756"/>
        <w:gridCol w:w="1229"/>
      </w:tblGrid>
      <w:tr w:rsidR="0006518A" w:rsidRPr="00866B97" w:rsidTr="00D4330F">
        <w:trPr>
          <w:trHeight w:val="312"/>
        </w:trPr>
        <w:tc>
          <w:tcPr>
            <w:tcW w:w="6947" w:type="dxa"/>
            <w:noWrap/>
            <w:hideMark/>
          </w:tcPr>
          <w:p w:rsidR="0006518A" w:rsidRPr="007923F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7923FB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uživatel</w:t>
            </w:r>
          </w:p>
        </w:tc>
        <w:tc>
          <w:tcPr>
            <w:tcW w:w="850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katastr</w:t>
            </w:r>
          </w:p>
        </w:tc>
        <w:tc>
          <w:tcPr>
            <w:tcW w:w="756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výměra</w:t>
            </w:r>
          </w:p>
        </w:tc>
        <w:tc>
          <w:tcPr>
            <w:tcW w:w="1229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parcela</w:t>
            </w:r>
          </w:p>
        </w:tc>
      </w:tr>
      <w:tr w:rsidR="0006518A" w:rsidRPr="00866B97" w:rsidTr="00D4330F">
        <w:trPr>
          <w:trHeight w:val="300"/>
        </w:trPr>
        <w:tc>
          <w:tcPr>
            <w:tcW w:w="6947" w:type="dxa"/>
            <w:noWrap/>
            <w:hideMark/>
          </w:tcPr>
          <w:p w:rsidR="0006518A" w:rsidRPr="007923F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7923FB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Autopark Kyjov s.r.o., IČ</w:t>
            </w:r>
            <w:r w:rsidRPr="007923FB">
              <w:rPr>
                <w:rFonts w:ascii="Verdana" w:hAnsi="Verdana"/>
                <w:color w:val="333333"/>
                <w:shd w:val="clear" w:color="auto" w:fill="FFFFFF"/>
              </w:rPr>
              <w:t xml:space="preserve"> </w:t>
            </w:r>
            <w:r w:rsidRPr="007923FB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29261767, Jakubské náměstí 580/4, 602 00 Brno</w:t>
            </w:r>
          </w:p>
        </w:tc>
        <w:tc>
          <w:tcPr>
            <w:tcW w:w="850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Kyjov</w:t>
            </w:r>
          </w:p>
        </w:tc>
        <w:tc>
          <w:tcPr>
            <w:tcW w:w="756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1229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4055/22</w:t>
            </w:r>
          </w:p>
        </w:tc>
      </w:tr>
      <w:tr w:rsidR="0006518A" w:rsidRPr="00866B97" w:rsidTr="00D4330F">
        <w:trPr>
          <w:trHeight w:val="300"/>
        </w:trPr>
        <w:tc>
          <w:tcPr>
            <w:tcW w:w="6947" w:type="dxa"/>
            <w:noWrap/>
            <w:hideMark/>
          </w:tcPr>
          <w:p w:rsidR="0006518A" w:rsidRPr="007923F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7923FB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Šebesta, spol. s r.o., IČ 43442030, Ostrovského 253/3, 150 00 Praha 5</w:t>
            </w:r>
          </w:p>
        </w:tc>
        <w:tc>
          <w:tcPr>
            <w:tcW w:w="850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Kyjov</w:t>
            </w:r>
          </w:p>
        </w:tc>
        <w:tc>
          <w:tcPr>
            <w:tcW w:w="756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1229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část 2075</w:t>
            </w:r>
          </w:p>
        </w:tc>
      </w:tr>
      <w:tr w:rsidR="0006518A" w:rsidRPr="00866B97" w:rsidTr="00D4330F">
        <w:trPr>
          <w:trHeight w:val="300"/>
        </w:trPr>
        <w:tc>
          <w:tcPr>
            <w:tcW w:w="6947" w:type="dxa"/>
            <w:noWrap/>
            <w:hideMark/>
          </w:tcPr>
          <w:p w:rsidR="0006518A" w:rsidRPr="007923F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7923FB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Autopark Kyjov s.r.o., IČ</w:t>
            </w:r>
            <w:r w:rsidRPr="007923FB">
              <w:rPr>
                <w:rFonts w:ascii="Verdana" w:hAnsi="Verdana"/>
                <w:color w:val="333333"/>
                <w:shd w:val="clear" w:color="auto" w:fill="FFFFFF"/>
              </w:rPr>
              <w:t xml:space="preserve"> </w:t>
            </w:r>
            <w:r w:rsidRPr="007923FB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29261767, Jakubské náměstí 580/4, 602 00 Brno</w:t>
            </w:r>
          </w:p>
        </w:tc>
        <w:tc>
          <w:tcPr>
            <w:tcW w:w="850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Kyjov</w:t>
            </w:r>
          </w:p>
        </w:tc>
        <w:tc>
          <w:tcPr>
            <w:tcW w:w="756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1229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část 2075</w:t>
            </w:r>
          </w:p>
        </w:tc>
      </w:tr>
      <w:tr w:rsidR="0006518A" w:rsidRPr="00866B97" w:rsidTr="00D4330F">
        <w:trPr>
          <w:trHeight w:val="300"/>
        </w:trPr>
        <w:tc>
          <w:tcPr>
            <w:tcW w:w="6947" w:type="dxa"/>
            <w:noWrap/>
            <w:hideMark/>
          </w:tcPr>
          <w:p w:rsidR="0006518A" w:rsidRPr="007923F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7923FB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lastRenderedPageBreak/>
              <w:t>EX STAV MORAVIA spol. s r.o., IČ</w:t>
            </w:r>
            <w:r w:rsidRPr="00792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7923FB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60752360,  Herčíkova 2496/14, 612 00 Brno - Královo Pole</w:t>
            </w:r>
          </w:p>
        </w:tc>
        <w:tc>
          <w:tcPr>
            <w:tcW w:w="850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Kyjov</w:t>
            </w:r>
          </w:p>
        </w:tc>
        <w:tc>
          <w:tcPr>
            <w:tcW w:w="756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1229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část 2075</w:t>
            </w:r>
          </w:p>
        </w:tc>
      </w:tr>
      <w:tr w:rsidR="0006518A" w:rsidRPr="00866B97" w:rsidTr="00D4330F">
        <w:trPr>
          <w:trHeight w:val="300"/>
        </w:trPr>
        <w:tc>
          <w:tcPr>
            <w:tcW w:w="6947" w:type="dxa"/>
            <w:noWrap/>
            <w:hideMark/>
          </w:tcPr>
          <w:p w:rsidR="0006518A" w:rsidRPr="007923F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proofErr w:type="spellStart"/>
            <w:r w:rsidRPr="007923FB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euroAWK</w:t>
            </w:r>
            <w:proofErr w:type="spellEnd"/>
            <w:r w:rsidRPr="007923FB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 xml:space="preserve"> s.r.o., IČ 24196819, U Parku 2336/22, 14800 Praha 4 </w:t>
            </w:r>
            <w:r w:rsidRPr="007923FB">
              <w:rPr>
                <w:rFonts w:ascii="Times New Roman" w:eastAsia="Times New Roman" w:hAnsi="Times New Roman"/>
                <w:i/>
                <w:position w:val="6"/>
                <w:sz w:val="20"/>
                <w:szCs w:val="20"/>
                <w:lang w:eastAsia="cs-CZ"/>
              </w:rPr>
              <w:t>(dříve ORIS)</w:t>
            </w:r>
          </w:p>
        </w:tc>
        <w:tc>
          <w:tcPr>
            <w:tcW w:w="850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 xml:space="preserve">Kyjov </w:t>
            </w:r>
          </w:p>
        </w:tc>
        <w:tc>
          <w:tcPr>
            <w:tcW w:w="756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1229" w:type="dxa"/>
            <w:noWrap/>
            <w:hideMark/>
          </w:tcPr>
          <w:p w:rsidR="0006518A" w:rsidRPr="00866B97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</w:pPr>
            <w:r w:rsidRPr="00866B97">
              <w:rPr>
                <w:rFonts w:ascii="Times New Roman" w:eastAsia="Times New Roman" w:hAnsi="Times New Roman"/>
                <w:i/>
                <w:position w:val="6"/>
                <w:sz w:val="24"/>
                <w:szCs w:val="20"/>
                <w:lang w:eastAsia="cs-CZ"/>
              </w:rPr>
              <w:t>328/4</w:t>
            </w:r>
          </w:p>
        </w:tc>
      </w:tr>
    </w:tbl>
    <w:p w:rsidR="00A73FE2" w:rsidRDefault="0006518A" w:rsidP="00F435AC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>Předmětem dodatků b</w:t>
      </w:r>
      <w:r>
        <w:rPr>
          <w:color w:val="000000" w:themeColor="text1"/>
          <w:szCs w:val="24"/>
        </w:rPr>
        <w:t xml:space="preserve">ude: zvýšení nájemného o 50% a </w:t>
      </w:r>
      <w:r w:rsidRPr="0006518A">
        <w:rPr>
          <w:color w:val="000000" w:themeColor="text1"/>
          <w:szCs w:val="24"/>
        </w:rPr>
        <w:t>doplnění inflační doložky u smluv, které ji neobsahují.</w:t>
      </w:r>
    </w:p>
    <w:p w:rsidR="00F435AC" w:rsidRPr="00F435AC" w:rsidRDefault="00F435AC" w:rsidP="00F435AC">
      <w:pPr>
        <w:pStyle w:val="Zkladntext"/>
        <w:spacing w:before="0" w:after="0"/>
        <w:rPr>
          <w:color w:val="000000" w:themeColor="text1"/>
          <w:szCs w:val="24"/>
        </w:rPr>
      </w:pP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62/4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767868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6518A" w:rsidRP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 xml:space="preserve">v souladu s ustanovením § 102 odst. 3 zákona č. 128/2000 Sb., o obcích, </w:t>
      </w:r>
      <w:r w:rsidRPr="0006518A">
        <w:rPr>
          <w:color w:val="000000" w:themeColor="text1"/>
          <w:szCs w:val="24"/>
        </w:rPr>
        <w:br/>
        <w:t xml:space="preserve">ve znění pozdějších předpisů, rozhodla o uzavření dodatku č. 1  ke smlouvě o nájmu části pozemků </w:t>
      </w:r>
      <w:proofErr w:type="spellStart"/>
      <w:r w:rsidRPr="0006518A">
        <w:rPr>
          <w:color w:val="000000" w:themeColor="text1"/>
          <w:szCs w:val="24"/>
        </w:rPr>
        <w:t>p.č</w:t>
      </w:r>
      <w:proofErr w:type="spellEnd"/>
      <w:r w:rsidRPr="0006518A">
        <w:rPr>
          <w:color w:val="000000" w:themeColor="text1"/>
          <w:szCs w:val="24"/>
        </w:rPr>
        <w:t>. 209/1,208/2,209/2 vše v </w:t>
      </w:r>
      <w:proofErr w:type="spellStart"/>
      <w:r w:rsidRPr="0006518A">
        <w:rPr>
          <w:color w:val="000000" w:themeColor="text1"/>
          <w:szCs w:val="24"/>
        </w:rPr>
        <w:t>k.ú</w:t>
      </w:r>
      <w:proofErr w:type="spellEnd"/>
      <w:r w:rsidRPr="0006518A">
        <w:rPr>
          <w:color w:val="000000" w:themeColor="text1"/>
          <w:szCs w:val="24"/>
        </w:rPr>
        <w:t xml:space="preserve">. Boršov u Kyjova ve vlastnictví města Kyjova uzavřené dne 28.12.2011 mezi městem Kyjovem jako pronajímatelem a  společností Vodovody a kanalizace Hodonín, a.s., IČ 49454544, se sídlem Purkyňova 2933, 695 11 Hodonín, jako nájemcem, za účelem skladování materiálu.  Předmětem dodatku č. 1 bude zvýšení nájemného na 24,- Kč/m2/rok  a doplnění inflační doložky do smlouvy. </w:t>
      </w:r>
    </w:p>
    <w:p w:rsidR="00A73FE2" w:rsidRDefault="00A73FE2" w:rsidP="002456B9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62/5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767868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6518A" w:rsidRP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06518A">
        <w:rPr>
          <w:color w:val="000000" w:themeColor="text1"/>
          <w:szCs w:val="24"/>
        </w:rPr>
        <w:br/>
        <w:t xml:space="preserve">ve znění pozdějších předpisů, rozhodla o uzavření dodatků ke smlouvám o nájmu pozemků ve vlastnictví města Kyjova užívaných kolem rekreačních chat a pod chatami na těchto pozemcích s těmito uživateli:  </w:t>
      </w:r>
    </w:p>
    <w:tbl>
      <w:tblPr>
        <w:tblStyle w:val="Mkatabulky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850"/>
        <w:gridCol w:w="567"/>
        <w:gridCol w:w="993"/>
        <w:gridCol w:w="567"/>
        <w:gridCol w:w="703"/>
      </w:tblGrid>
      <w:tr w:rsidR="0006518A" w:rsidRPr="00721DD3" w:rsidTr="00D4330F">
        <w:trPr>
          <w:trHeight w:val="719"/>
        </w:trPr>
        <w:tc>
          <w:tcPr>
            <w:tcW w:w="4537" w:type="dxa"/>
            <w:hideMark/>
          </w:tcPr>
          <w:p w:rsidR="0006518A" w:rsidRDefault="0006518A" w:rsidP="00D433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position w:val="6"/>
                <w:sz w:val="20"/>
                <w:szCs w:val="20"/>
                <w:lang w:eastAsia="cs-CZ"/>
              </w:rPr>
            </w:pPr>
          </w:p>
          <w:p w:rsidR="0006518A" w:rsidRPr="00721DD3" w:rsidRDefault="0006518A" w:rsidP="00D433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position w:val="6"/>
                <w:sz w:val="20"/>
                <w:szCs w:val="20"/>
                <w:lang w:eastAsia="cs-CZ"/>
              </w:rPr>
            </w:pPr>
            <w:r w:rsidRPr="00721DD3">
              <w:rPr>
                <w:rFonts w:ascii="Times New Roman" w:eastAsia="Times New Roman" w:hAnsi="Times New Roman"/>
                <w:b/>
                <w:bCs/>
                <w:i/>
                <w:position w:val="6"/>
                <w:sz w:val="20"/>
                <w:szCs w:val="20"/>
                <w:lang w:eastAsia="cs-CZ"/>
              </w:rPr>
              <w:t>Nájemce - vlastník chaty</w:t>
            </w:r>
          </w:p>
        </w:tc>
        <w:tc>
          <w:tcPr>
            <w:tcW w:w="1134" w:type="dxa"/>
            <w:hideMark/>
          </w:tcPr>
          <w:p w:rsidR="0006518A" w:rsidRDefault="0006518A" w:rsidP="00D4330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</w:p>
          <w:p w:rsidR="0006518A" w:rsidRPr="00CC7A98" w:rsidRDefault="0006518A" w:rsidP="00D4330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  <w:r w:rsidRPr="00CC7A98"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  <w:t>Katastrální území</w:t>
            </w:r>
          </w:p>
        </w:tc>
        <w:tc>
          <w:tcPr>
            <w:tcW w:w="850" w:type="dxa"/>
            <w:hideMark/>
          </w:tcPr>
          <w:p w:rsidR="0006518A" w:rsidRPr="00CC7A98" w:rsidRDefault="0006518A" w:rsidP="00D4330F">
            <w:pPr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  <w:r w:rsidRPr="00CC7A98"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  <w:t>Pozemek pod stavbou</w:t>
            </w:r>
          </w:p>
        </w:tc>
        <w:tc>
          <w:tcPr>
            <w:tcW w:w="567" w:type="dxa"/>
            <w:hideMark/>
          </w:tcPr>
          <w:p w:rsidR="0006518A" w:rsidRPr="00CC7A98" w:rsidRDefault="0006518A" w:rsidP="00D4330F">
            <w:pPr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  <w:r w:rsidRPr="00CC7A98"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  <w:t>Výměra v m2</w:t>
            </w:r>
          </w:p>
        </w:tc>
        <w:tc>
          <w:tcPr>
            <w:tcW w:w="993" w:type="dxa"/>
            <w:hideMark/>
          </w:tcPr>
          <w:p w:rsidR="0006518A" w:rsidRPr="00CC7A98" w:rsidRDefault="0006518A" w:rsidP="00D4330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  <w:r w:rsidRPr="00CC7A98"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  <w:t>Pozemek kolem chaty</w:t>
            </w:r>
          </w:p>
        </w:tc>
        <w:tc>
          <w:tcPr>
            <w:tcW w:w="567" w:type="dxa"/>
            <w:hideMark/>
          </w:tcPr>
          <w:p w:rsidR="0006518A" w:rsidRPr="00CC7A98" w:rsidRDefault="0006518A" w:rsidP="00D4330F">
            <w:pPr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  <w:r w:rsidRPr="00CC7A98"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  <w:t>Výměra v m2</w:t>
            </w:r>
          </w:p>
        </w:tc>
        <w:tc>
          <w:tcPr>
            <w:tcW w:w="703" w:type="dxa"/>
            <w:hideMark/>
          </w:tcPr>
          <w:p w:rsidR="0006518A" w:rsidRPr="00CC7A98" w:rsidRDefault="0006518A" w:rsidP="00D4330F">
            <w:pPr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  <w:r w:rsidRPr="00CC7A98"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  <w:t>Výměra celkem</w:t>
            </w:r>
          </w:p>
        </w:tc>
      </w:tr>
      <w:tr w:rsidR="0006518A" w:rsidRPr="00721DD3" w:rsidTr="00D4330F">
        <w:trPr>
          <w:trHeight w:val="506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739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1906/33 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123</w:t>
            </w:r>
          </w:p>
        </w:tc>
        <w:tc>
          <w:tcPr>
            <w:tcW w:w="703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123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747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1906/19 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77</w:t>
            </w:r>
          </w:p>
        </w:tc>
        <w:tc>
          <w:tcPr>
            <w:tcW w:w="703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77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748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1906/25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125</w:t>
            </w:r>
          </w:p>
        </w:tc>
        <w:tc>
          <w:tcPr>
            <w:tcW w:w="703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125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741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1902/4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</w:t>
            </w:r>
          </w:p>
        </w:tc>
        <w:tc>
          <w:tcPr>
            <w:tcW w:w="703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147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Vřesovice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350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1765/6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164</w:t>
            </w:r>
          </w:p>
        </w:tc>
        <w:tc>
          <w:tcPr>
            <w:tcW w:w="703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164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st.742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1906/30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144</w:t>
            </w:r>
          </w:p>
        </w:tc>
        <w:tc>
          <w:tcPr>
            <w:tcW w:w="703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144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740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1902/5 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134</w:t>
            </w:r>
          </w:p>
        </w:tc>
        <w:tc>
          <w:tcPr>
            <w:tcW w:w="703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134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CE0BBB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644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35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35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noWrap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660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1906/24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112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112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noWrap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701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1902/9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60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60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743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1906/29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116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116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645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1906/20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70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70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745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1906/22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118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118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690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1902/8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160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160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668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1907/5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217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217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630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1902/7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86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86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749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1906/32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96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96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661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1906/21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73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73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744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1906/23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92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92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746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1906/28 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142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142</w:t>
            </w:r>
          </w:p>
        </w:tc>
      </w:tr>
      <w:tr w:rsidR="0006518A" w:rsidRPr="00721DD3" w:rsidTr="00D4330F">
        <w:trPr>
          <w:trHeight w:val="402"/>
        </w:trPr>
        <w:tc>
          <w:tcPr>
            <w:tcW w:w="4537" w:type="dxa"/>
            <w:hideMark/>
          </w:tcPr>
          <w:p w:rsidR="0006518A" w:rsidRPr="00E7708B" w:rsidRDefault="00CE0BBB" w:rsidP="00D4330F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Moravany  </w:t>
            </w:r>
          </w:p>
        </w:tc>
        <w:tc>
          <w:tcPr>
            <w:tcW w:w="850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632</w:t>
            </w:r>
          </w:p>
        </w:tc>
        <w:tc>
          <w:tcPr>
            <w:tcW w:w="567" w:type="dxa"/>
            <w:noWrap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</w:t>
            </w:r>
          </w:p>
        </w:tc>
        <w:tc>
          <w:tcPr>
            <w:tcW w:w="993" w:type="dxa"/>
            <w:hideMark/>
          </w:tcPr>
          <w:p w:rsidR="0006518A" w:rsidRPr="00E17F25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17F25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1902/6</w:t>
            </w:r>
          </w:p>
        </w:tc>
        <w:tc>
          <w:tcPr>
            <w:tcW w:w="567" w:type="dxa"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94</w:t>
            </w:r>
          </w:p>
        </w:tc>
        <w:tc>
          <w:tcPr>
            <w:tcW w:w="703" w:type="dxa"/>
            <w:noWrap/>
            <w:hideMark/>
          </w:tcPr>
          <w:p w:rsidR="0006518A" w:rsidRPr="00E7708B" w:rsidRDefault="0006518A" w:rsidP="00D433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</w:pPr>
            <w:r w:rsidRPr="00E7708B">
              <w:rPr>
                <w:rFonts w:ascii="Times New Roman" w:eastAsia="Times New Roman" w:hAnsi="Times New Roman" w:cs="Times New Roman"/>
                <w:b/>
                <w:bCs/>
                <w:i/>
                <w:position w:val="6"/>
                <w:lang w:eastAsia="cs-CZ"/>
              </w:rPr>
              <w:t>144</w:t>
            </w:r>
          </w:p>
        </w:tc>
      </w:tr>
    </w:tbl>
    <w:p w:rsidR="0006518A" w:rsidRPr="00EB61C0" w:rsidRDefault="0006518A" w:rsidP="0006518A">
      <w:pPr>
        <w:spacing w:after="0" w:line="360" w:lineRule="auto"/>
        <w:jc w:val="both"/>
        <w:rPr>
          <w:rFonts w:ascii="Times New Roman" w:eastAsia="Times New Roman" w:hAnsi="Times New Roman"/>
          <w:i/>
          <w:position w:val="6"/>
          <w:sz w:val="24"/>
          <w:szCs w:val="20"/>
          <w:lang w:eastAsia="cs-CZ"/>
        </w:rPr>
      </w:pPr>
    </w:p>
    <w:p w:rsidR="0006518A" w:rsidRP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>Předmětem dodatků bude: navýšení nájemného na 15,- Kč/m2/rok, přeúčtování daně z nemovitých věcí a ročního poplatku za dočasné odnětí pozemku z PUPFL nájemcům, doplnění inflační doložky, požadavek na elektronickou komunikaci (e-mail) s nájemci, v případě neakceptace elektronické komunikace bude k nájemnému každý rok připočten manipulační poplatek ve výši 100 Kč.</w:t>
      </w:r>
    </w:p>
    <w:p w:rsidR="0006518A" w:rsidRPr="00A73FE2" w:rsidRDefault="0006518A" w:rsidP="00A73FE2">
      <w:pPr>
        <w:pStyle w:val="Zkladntext"/>
        <w:spacing w:before="0" w:after="0"/>
        <w:rPr>
          <w:color w:val="000000" w:themeColor="text1"/>
          <w:szCs w:val="24"/>
        </w:rPr>
      </w:pPr>
    </w:p>
    <w:p w:rsidR="0006518A" w:rsidRDefault="0006518A" w:rsidP="0006518A">
      <w:pPr>
        <w:suppressAutoHyphens/>
        <w:spacing w:before="80" w:after="8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Ad II. Smluvní vztahy</w:t>
      </w:r>
    </w:p>
    <w:p w:rsidR="00A73FE2" w:rsidRPr="0006518A" w:rsidRDefault="0006518A" w:rsidP="00065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position w:val="6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B0F0"/>
          <w:position w:val="6"/>
          <w:sz w:val="24"/>
          <w:szCs w:val="20"/>
          <w:lang w:eastAsia="cs-CZ"/>
        </w:rPr>
        <w:t>II.1.  Ukončení nájemní smlouvy - Fénix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62/6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767868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06518A">
        <w:rPr>
          <w:color w:val="000000" w:themeColor="text1"/>
          <w:szCs w:val="24"/>
        </w:rPr>
        <w:br/>
        <w:t>ve znění pozdějších předpisů, akceptovala žádost nájemce a rozhodla o ukončení smlouvy o nájmu budovy s č.p. 625 – objektu občanské vybavenosti, která je součástí pozemku p.č.st. 556 – zastavěná plocha a nádvoří v </w:t>
      </w:r>
      <w:proofErr w:type="spellStart"/>
      <w:r w:rsidRPr="0006518A">
        <w:rPr>
          <w:color w:val="000000" w:themeColor="text1"/>
          <w:szCs w:val="24"/>
        </w:rPr>
        <w:t>k.ú</w:t>
      </w:r>
      <w:proofErr w:type="spellEnd"/>
      <w:r w:rsidRPr="0006518A">
        <w:rPr>
          <w:color w:val="000000" w:themeColor="text1"/>
          <w:szCs w:val="24"/>
        </w:rPr>
        <w:t>. Kyjov. Smlouva o nájmu byla  uzavřena dne 10.8.2015 mezi městem Kyjovem jako pronajímatelem a Sociálně-psychiatrickým centrem – Fénix, o.p.s., IČ 29369266, se sídlem Žeraviny 21, PSČ 696 63, jako nájemcem, a byla doplněna dodatkem č. 1 ze dne 8.6.2020. Smlouva o nájmu bude ukončena dohodou ke dni 31.12.2024.</w:t>
      </w:r>
    </w:p>
    <w:p w:rsidR="0006518A" w:rsidRP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</w:p>
    <w:p w:rsidR="00A73FE2" w:rsidRPr="0006518A" w:rsidRDefault="0006518A" w:rsidP="00065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position w:val="6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B0F0"/>
          <w:position w:val="6"/>
          <w:sz w:val="24"/>
          <w:szCs w:val="20"/>
          <w:lang w:eastAsia="cs-CZ"/>
        </w:rPr>
        <w:lastRenderedPageBreak/>
        <w:t>II.2.  Uzavření dodatku č. 2 ke smlouvě o nájmu plochy pro parkování – České dráhy, a.s.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62/7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767868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6518A" w:rsidRP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>v souladu s ustanovením § 102 odst. 3 zákona č. 128/2000 Sb., o obcích, ve znění pozdějších předpisů, rozhodla o uzavření dodatku č. 2 k nájemní smlou</w:t>
      </w:r>
      <w:r w:rsidR="00AA64A8">
        <w:rPr>
          <w:color w:val="000000" w:themeColor="text1"/>
          <w:szCs w:val="24"/>
        </w:rPr>
        <w:t xml:space="preserve">vě </w:t>
      </w:r>
      <w:r w:rsidR="00AA64A8">
        <w:rPr>
          <w:color w:val="000000" w:themeColor="text1"/>
          <w:szCs w:val="24"/>
        </w:rPr>
        <w:br/>
        <w:t>č. 2637100120 uzavřené mezi</w:t>
      </w:r>
      <w:r w:rsidRPr="0006518A">
        <w:rPr>
          <w:color w:val="000000" w:themeColor="text1"/>
          <w:szCs w:val="24"/>
        </w:rPr>
        <w:t xml:space="preserve"> Českými drahami, a.s., IČ: 70994226, se sídlem: Nábřeží L. Svobody 1222, 110 15 Praha 1, jako pronajímatelem, a městem Kyjovem, IČ: 00285030, se sídlem: Masarykovo náměstí 30, 697 01 Kyjov, jako nájemcem, kterou bylo sjednáno smluvní  užívání části pozemku </w:t>
      </w:r>
      <w:proofErr w:type="spellStart"/>
      <w:r w:rsidRPr="0006518A">
        <w:rPr>
          <w:color w:val="000000" w:themeColor="text1"/>
          <w:szCs w:val="24"/>
        </w:rPr>
        <w:t>p.č</w:t>
      </w:r>
      <w:proofErr w:type="spellEnd"/>
      <w:r w:rsidRPr="0006518A">
        <w:rPr>
          <w:color w:val="000000" w:themeColor="text1"/>
          <w:szCs w:val="24"/>
        </w:rPr>
        <w:t>. 3040/39 – ostatní plocha (dráha) v </w:t>
      </w:r>
      <w:proofErr w:type="spellStart"/>
      <w:r w:rsidRPr="0006518A">
        <w:rPr>
          <w:color w:val="000000" w:themeColor="text1"/>
          <w:szCs w:val="24"/>
        </w:rPr>
        <w:t>k.ú</w:t>
      </w:r>
      <w:proofErr w:type="spellEnd"/>
      <w:r w:rsidRPr="0006518A">
        <w:rPr>
          <w:color w:val="000000" w:themeColor="text1"/>
          <w:szCs w:val="24"/>
        </w:rPr>
        <w:t>. Kyjov za účelem neplaceného parkování ve</w:t>
      </w:r>
      <w:r w:rsidR="002D51B4">
        <w:rPr>
          <w:color w:val="000000" w:themeColor="text1"/>
          <w:szCs w:val="24"/>
        </w:rPr>
        <w:t>řejnosti. Předmětem dodatku č. 2</w:t>
      </w:r>
      <w:bookmarkStart w:id="0" w:name="_GoBack"/>
      <w:bookmarkEnd w:id="0"/>
      <w:r w:rsidRPr="0006518A">
        <w:rPr>
          <w:color w:val="000000" w:themeColor="text1"/>
          <w:szCs w:val="24"/>
        </w:rPr>
        <w:t xml:space="preserve"> je změna předmětu nájmu z důvodu stavebních úprav budovy na sousedním pozemku, kdy se původní plocha 612 m2 snižuje na 555 m2, mění se tvar pronajatého pozemku, kapacita vozidel zůstává stejná.   </w:t>
      </w:r>
    </w:p>
    <w:p w:rsidR="00A73FE2" w:rsidRPr="0006518A" w:rsidRDefault="0006518A" w:rsidP="0006518A">
      <w:pPr>
        <w:keepNext/>
        <w:tabs>
          <w:tab w:val="left" w:pos="284"/>
          <w:tab w:val="left" w:pos="2410"/>
        </w:tabs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Ad III. Služebnosti   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62/8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767868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6518A" w:rsidRP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>v souladu s ustanovením § 102 odst. 3 zákona č. 128/2000 Sb., o obcích,   ve znění  pozdějších  předpisů, rozhodla o  uzavření  Smlouvy o budoucí smlouvě o zřízení služebnosti, mezi městem Kyjovem, Masarykovo náměstí 30/1, 697 01  Kyjov,  IČ: 00285030,  jako „Vlastník“,  a společností CETIN a.s., Českomoravská 2510/19, Libeň, 190 00  Praha 9, IČ: 04084063, jako  „CETIN“. Předmětem smlouvy je sjednání závazku obou smluvních stran uzavřít smlouvu o zřízení služebnosti k tíži pozemku p. č. 70/12 – ostatní plocha – zeleň,  v </w:t>
      </w:r>
      <w:proofErr w:type="spellStart"/>
      <w:r w:rsidRPr="0006518A">
        <w:rPr>
          <w:color w:val="000000" w:themeColor="text1"/>
          <w:szCs w:val="24"/>
        </w:rPr>
        <w:t>k.ú</w:t>
      </w:r>
      <w:proofErr w:type="spellEnd"/>
      <w:r w:rsidRPr="0006518A">
        <w:rPr>
          <w:color w:val="000000" w:themeColor="text1"/>
          <w:szCs w:val="24"/>
        </w:rPr>
        <w:t xml:space="preserve">. Nětčice u Kyjova. Služebnost spočívá v umístění a provozování podzemního komunikačního vedení veřejné komunikační sítě – optické kabely, plastovou infrastrukturu včetně technologického příslušenství („komunikační vedení a zařízení“). Podpisem smlouvy Vlastník uděluje společnosti CETIN souhlas komunikační vedení a zařízení na pozemku umístit a provozovat. Stavba realizovaná pod označením „11010-099871, 0803_20 GT </w:t>
      </w:r>
      <w:proofErr w:type="spellStart"/>
      <w:r w:rsidRPr="0006518A">
        <w:rPr>
          <w:color w:val="000000" w:themeColor="text1"/>
          <w:szCs w:val="24"/>
        </w:rPr>
        <w:t>net</w:t>
      </w:r>
      <w:proofErr w:type="spellEnd"/>
      <w:r w:rsidRPr="0006518A">
        <w:rPr>
          <w:color w:val="000000" w:themeColor="text1"/>
          <w:szCs w:val="24"/>
        </w:rPr>
        <w:t xml:space="preserve"> (3)_Kyjov, </w:t>
      </w:r>
      <w:proofErr w:type="spellStart"/>
      <w:r w:rsidRPr="0006518A">
        <w:rPr>
          <w:color w:val="000000" w:themeColor="text1"/>
          <w:szCs w:val="24"/>
        </w:rPr>
        <w:t>Sídliště_OK</w:t>
      </w:r>
      <w:proofErr w:type="spellEnd"/>
      <w:r w:rsidRPr="0006518A">
        <w:rPr>
          <w:color w:val="000000" w:themeColor="text1"/>
          <w:szCs w:val="24"/>
        </w:rPr>
        <w:t xml:space="preserve">“. Služebnost bude sjednána na dobu neurčitou a za předpokládanou  náhradu ve výši 2.000,- Kč bez DPH. K náhradě bude připočtena daň z přidané hodnoty v zákonné výši. </w:t>
      </w:r>
    </w:p>
    <w:p w:rsidR="00A73FE2" w:rsidRDefault="00A73FE2" w:rsidP="002456B9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62/9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767868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A73FE2" w:rsidRDefault="0006518A" w:rsidP="00767868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 xml:space="preserve">v  souladu  s ustanovením   §   102   odst.   3   zákona č. 128/2000 Sb., o   obcích,  ve  znění  pozdějších  předpisů, rozhodla o  uzavření  Smlouvy č.: HO-001030093731/001-MPEL o smlouvě budoucí o zřízení věcného břemene - služebnosti, mezi městem Kyjovem, Masarykovo náměstí 30/1, 697 01  Kyjov,  IČ: 00285030,  jako „Budoucí povinná“, a společností EG.D, a.s., Lidická 1873/36, Černá Pole, 602 00  Brno, IČ: 28085400,  jako  „Budoucí oprávněná“. Předmětem smlouvy je  sjednání závazku obou smluvních stran uzavřít smlouvu o zřízení věcného břemene - služebnosti k tíži pozemku p. č. 3454/2 – ostatní plocha – ostatní komunikace, v k. </w:t>
      </w:r>
      <w:proofErr w:type="spellStart"/>
      <w:r w:rsidRPr="0006518A">
        <w:rPr>
          <w:color w:val="000000" w:themeColor="text1"/>
          <w:szCs w:val="24"/>
        </w:rPr>
        <w:t>ú.</w:t>
      </w:r>
      <w:proofErr w:type="spellEnd"/>
      <w:r w:rsidRPr="0006518A">
        <w:rPr>
          <w:color w:val="000000" w:themeColor="text1"/>
          <w:szCs w:val="24"/>
        </w:rPr>
        <w:t xml:space="preserve"> Kyjov, za účelem umístění distribuční soustavy – 3454/2 – kabelový pilíř na pozemku, a za účelem jejího provozování, jejímž obsahem bude právo Budoucí oprávněné zřídit, provozovat, opravovat a udržovat distribuční soustavu na pozemku. Věcné břemeno - služebnosti bude zahrnovat též právo  Budoucí oprávněné provádět na </w:t>
      </w:r>
      <w:r w:rsidRPr="0006518A">
        <w:rPr>
          <w:color w:val="000000" w:themeColor="text1"/>
          <w:szCs w:val="24"/>
        </w:rPr>
        <w:lastRenderedPageBreak/>
        <w:t xml:space="preserve">distribuční soustavě úpravy za účelem její obnovy, výměny, modernizace nebo zlepšení její výkonnosti, včetně jejího odstranění.  Stavba realizovaná pod názvem: „Kyjov,  Polámaný, </w:t>
      </w:r>
      <w:proofErr w:type="spellStart"/>
      <w:r w:rsidRPr="0006518A">
        <w:rPr>
          <w:color w:val="000000" w:themeColor="text1"/>
          <w:szCs w:val="24"/>
        </w:rPr>
        <w:t>rozš.NN</w:t>
      </w:r>
      <w:proofErr w:type="spellEnd"/>
      <w:r w:rsidRPr="0006518A">
        <w:rPr>
          <w:color w:val="000000" w:themeColor="text1"/>
          <w:szCs w:val="24"/>
        </w:rPr>
        <w:t>, Hudec“. Věcné břemeno - služebnosti bude zřízeno na dobu neurčitou, které zanikne pouze v případech stanovených zákonem, a za jednorázovou náhradu stanovenou dle platného Ceníku jednorázových náhrad za zřízení služebností inženýrských sítí k nemovitostem ve vlastnictví města Kyjova vydaného Radou města Kyjova dne  21.10.2024. Předpokládaná výše úplaty je 2.000,- Kč bez DPH. K této částce bude připočtena platná sazba DPH.</w:t>
      </w:r>
    </w:p>
    <w:p w:rsidR="00767868" w:rsidRPr="00767868" w:rsidRDefault="00767868" w:rsidP="00767868">
      <w:pPr>
        <w:pStyle w:val="Zkladntext"/>
        <w:spacing w:before="0" w:after="0"/>
        <w:rPr>
          <w:color w:val="000000" w:themeColor="text1"/>
          <w:szCs w:val="24"/>
        </w:rPr>
      </w:pPr>
    </w:p>
    <w:p w:rsidR="0006518A" w:rsidRDefault="0006518A" w:rsidP="0006518A">
      <w:pPr>
        <w:suppressAutoHyphens/>
        <w:spacing w:before="80" w:after="8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Ad IV. Různé </w:t>
      </w:r>
    </w:p>
    <w:p w:rsidR="00A73FE2" w:rsidRPr="0006518A" w:rsidRDefault="0006518A" w:rsidP="0006518A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I</w:t>
      </w:r>
      <w:r w:rsidRPr="004B47E0">
        <w:rPr>
          <w:rFonts w:ascii="Times New Roman" w:hAnsi="Times New Roman" w:cs="Times New Roman"/>
          <w:b/>
          <w:color w:val="00B0F0"/>
          <w:sz w:val="24"/>
          <w:szCs w:val="24"/>
        </w:rPr>
        <w:t>V.1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.</w:t>
      </w:r>
      <w:r w:rsidRPr="004B47E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Pobočný spolek </w:t>
      </w:r>
      <w:r w:rsidRPr="004B47E0"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cs-CZ"/>
        </w:rPr>
        <w:t>ERC Brno – uplatnění pohledávky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0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767868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A73FE2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 xml:space="preserve">v souladu s ustanovením § 102 odst. 3 zákona č. 128/2000 Sb., o obcích, ve znění pozdějších předpisů, rozhodla o podání návrhu na vydání elektronického platebního rozkazu proti Pobočnému spolku ERC (Evropské regionální vzdělávací centrum) Brno, IČ: 08351732, se sídlem Pekařská 246/80, 602 00 Brno, na zaplacení pohledávky v celkové výši 2.190 Kč z titulu vrácení ceny díla, nerealizovaného opakovaně odkládaného on-line kurzu „YOUTUBE JE ESO V MARKETINGU“, sjednaného smlouvou o dílo uzavřenou mezi městem Kyjovem, IČ: 00285030, Masarykovo náměstí 30/1, 697 01 Kyjov, jako objednatelem, a  Pobočným spolkem ERC (Evropské regionální vzdělávací centrum) Brno, IČ: 08351732, se sídlem Pekařská 246/80, 602 00 Brno, jako poskytovatelem, ze dne 16. 10. 2023, včetně zákonných úroků z prodlení ročně ve výši </w:t>
      </w:r>
      <w:proofErr w:type="spellStart"/>
      <w:r w:rsidRPr="0006518A">
        <w:rPr>
          <w:color w:val="000000" w:themeColor="text1"/>
          <w:szCs w:val="24"/>
        </w:rPr>
        <w:t>repo</w:t>
      </w:r>
      <w:proofErr w:type="spellEnd"/>
      <w:r w:rsidRPr="0006518A">
        <w:rPr>
          <w:color w:val="000000" w:themeColor="text1"/>
          <w:szCs w:val="24"/>
        </w:rPr>
        <w:t xml:space="preserve"> sazby stanovené Českou národní bankou pro první den kalendářního pololetí, v němž došlo k prodlení, zvýšené o 8 procentních bodů, a to od 15. 10. 2024 do zaplacení. Cena díla byla ze strany města uhrazena dne 20. 10. 2023. K odstoupení od smlouvy došlo s účinností dne 30. 9. 2024. Před samotným podáním žaloby bude poskytovateli zaslána </w:t>
      </w:r>
      <w:proofErr w:type="spellStart"/>
      <w:r w:rsidRPr="0006518A">
        <w:rPr>
          <w:color w:val="000000" w:themeColor="text1"/>
          <w:szCs w:val="24"/>
        </w:rPr>
        <w:t>předžalobní</w:t>
      </w:r>
      <w:proofErr w:type="spellEnd"/>
      <w:r w:rsidRPr="0006518A">
        <w:rPr>
          <w:color w:val="000000" w:themeColor="text1"/>
          <w:szCs w:val="24"/>
        </w:rPr>
        <w:t xml:space="preserve"> výzva dle § 142a zákona č. 99/1963 Sb.</w:t>
      </w:r>
    </w:p>
    <w:p w:rsid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</w:p>
    <w:p w:rsidR="0006518A" w:rsidRPr="00AD5449" w:rsidRDefault="0006518A" w:rsidP="0006518A">
      <w:pPr>
        <w:spacing w:after="0" w:line="36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D5449">
        <w:rPr>
          <w:rFonts w:ascii="Times New Roman" w:hAnsi="Times New Roman" w:cs="Times New Roman"/>
          <w:b/>
          <w:color w:val="00B0F0"/>
          <w:sz w:val="24"/>
          <w:szCs w:val="24"/>
        </w:rPr>
        <w:t>IV.2  Vyhlášení VZ v režimu zákona č. 134/2016 Sb. „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Rekonstrukce a provoz domu </w:t>
      </w:r>
      <w:r w:rsidRPr="00AD5449">
        <w:rPr>
          <w:rFonts w:ascii="Times New Roman" w:hAnsi="Times New Roman" w:cs="Times New Roman"/>
          <w:b/>
          <w:color w:val="00B0F0"/>
          <w:sz w:val="24"/>
          <w:szCs w:val="24"/>
        </w:rPr>
        <w:t>Krůta v Kyjově“</w:t>
      </w:r>
    </w:p>
    <w:p w:rsid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1</w:t>
      </w:r>
    </w:p>
    <w:p w:rsidR="0006518A" w:rsidRPr="00A73FE2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t xml:space="preserve">a v souladu s ustanovením § 102 odst. 3 zákona č. 128/2000 Sb., o obcích, ve znění pozdějších předpisů, schvaluje Výzvu k podání nabídek a zadávací dokumentaci k veřejné zakázce zadávané v koncesním řízení (včetně příloh) a jmenuje komisi pro otevírání nabídek v elektronické podobě a komisi pro posouzení splnění podmínek účasti </w:t>
      </w:r>
      <w:r w:rsidRPr="0006518A">
        <w:rPr>
          <w:color w:val="000000" w:themeColor="text1"/>
          <w:szCs w:val="24"/>
        </w:rPr>
        <w:br/>
        <w:t>v zadávacím řízení a hodnocení nabídek, pro veřejnou zakázku dle zákona č. 134/2016 Sb.,</w:t>
      </w:r>
      <w:r w:rsidRPr="0006518A">
        <w:rPr>
          <w:color w:val="000000" w:themeColor="text1"/>
          <w:szCs w:val="24"/>
        </w:rPr>
        <w:br/>
        <w:t xml:space="preserve"> o zadávání veřejných zakázek, s názvem „Rekonstrukce a provoz domu Krůta v Kyjově“, </w:t>
      </w:r>
      <w:r w:rsidRPr="0006518A">
        <w:rPr>
          <w:color w:val="000000" w:themeColor="text1"/>
          <w:szCs w:val="24"/>
        </w:rPr>
        <w:br/>
        <w:t>v předloženém znění.</w:t>
      </w:r>
    </w:p>
    <w:p w:rsid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</w:p>
    <w:p w:rsidR="0006518A" w:rsidRPr="00AD5449" w:rsidRDefault="0006518A" w:rsidP="0006518A">
      <w:pPr>
        <w:spacing w:after="0" w:line="36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D5449">
        <w:rPr>
          <w:rFonts w:ascii="Times New Roman" w:hAnsi="Times New Roman" w:cs="Times New Roman"/>
          <w:b/>
          <w:color w:val="00B0F0"/>
          <w:sz w:val="24"/>
          <w:szCs w:val="24"/>
        </w:rPr>
        <w:t>IV.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3</w:t>
      </w:r>
      <w:r w:rsidRPr="00AD5449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TS Kyjov – dočasné navýšení počtu pracovních úvazků</w:t>
      </w:r>
    </w:p>
    <w:p w:rsid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</w:p>
    <w:p w:rsid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2</w:t>
      </w:r>
    </w:p>
    <w:p w:rsidR="0006518A" w:rsidRPr="00A73FE2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6518A" w:rsidRPr="0006518A" w:rsidRDefault="0006518A" w:rsidP="0006518A">
      <w:pPr>
        <w:pStyle w:val="Zkladntext"/>
        <w:spacing w:before="0" w:after="0"/>
        <w:rPr>
          <w:color w:val="000000" w:themeColor="text1"/>
          <w:szCs w:val="24"/>
        </w:rPr>
      </w:pPr>
      <w:r w:rsidRPr="0006518A">
        <w:rPr>
          <w:color w:val="000000" w:themeColor="text1"/>
          <w:szCs w:val="24"/>
        </w:rPr>
        <w:lastRenderedPageBreak/>
        <w:t xml:space="preserve">v souladu s ustanovením § 102 odst. 3 zákona č. 128/2000 Sb., o obcích, </w:t>
      </w:r>
      <w:r w:rsidRPr="0006518A">
        <w:rPr>
          <w:color w:val="000000" w:themeColor="text1"/>
          <w:szCs w:val="24"/>
        </w:rPr>
        <w:br/>
        <w:t>ve znění pozdějších předpisů,  rozhodla o dočasném navýšení počtu zaměstnanců TS Kyjov, příspěvkové organizace města Kyjova, IČ 21551448, o 1 pracovní úvazek, a to pro období od 1. 12. 2024 do 30. 9. 2025. Počet pracovních úvazků v TS Kyjov bude tedy od 1. 12. 2024 činit 47,63. Výše příspěvku na provoz TS Kyjov na rok 2024 zůstává v rozpočtu města Kyjova beze změny a výše požadovaného příspěvku na provoz na rok 2025 zůstává také beze změny</w:t>
      </w:r>
      <w:r>
        <w:rPr>
          <w:color w:val="000000" w:themeColor="text1"/>
          <w:szCs w:val="24"/>
        </w:rPr>
        <w:t>.</w:t>
      </w:r>
    </w:p>
    <w:p w:rsidR="002456B9" w:rsidRDefault="002456B9" w:rsidP="002456B9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456B9">
        <w:rPr>
          <w:b/>
          <w:bCs/>
          <w:iCs/>
        </w:rPr>
        <w:t>5. Rozpočtová opatření roku 2024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3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2456B9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 w:rsidRPr="00A73FE2">
        <w:rPr>
          <w:color w:val="000000" w:themeColor="text1"/>
          <w:szCs w:val="24"/>
        </w:rPr>
        <w:t>schvaluje dle § 102, odst. 2,  písm. a ) zákona č. 128/2000 Sb., o obcích, v platném znění  rozpočtová  opatření  č. 373-377 r. 2024.</w:t>
      </w:r>
    </w:p>
    <w:p w:rsidR="001E60E7" w:rsidRDefault="001E60E7" w:rsidP="00A73FE2">
      <w:pPr>
        <w:pStyle w:val="Zkladntext"/>
        <w:spacing w:before="0" w:after="0"/>
        <w:rPr>
          <w:color w:val="000000" w:themeColor="text1"/>
          <w:szCs w:val="24"/>
        </w:rPr>
      </w:pPr>
    </w:p>
    <w:p w:rsidR="001E60E7" w:rsidRDefault="001E60E7" w:rsidP="001E60E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E60E7" w:rsidRDefault="001E60E7" w:rsidP="001E60E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4</w:t>
      </w:r>
    </w:p>
    <w:p w:rsidR="001E60E7" w:rsidRPr="00A73FE2" w:rsidRDefault="001E60E7" w:rsidP="001E60E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1E60E7" w:rsidRDefault="001E60E7" w:rsidP="00A73FE2">
      <w:pPr>
        <w:pStyle w:val="Zkladntext"/>
        <w:spacing w:before="0" w:after="0"/>
        <w:rPr>
          <w:color w:val="000000" w:themeColor="text1"/>
          <w:szCs w:val="24"/>
        </w:rPr>
      </w:pPr>
      <w:r w:rsidRPr="001E60E7">
        <w:rPr>
          <w:color w:val="000000" w:themeColor="text1"/>
          <w:szCs w:val="24"/>
        </w:rPr>
        <w:t>schvaluje dle § 102, odst. 2,  písm. a ) zákona č. 128/2000 Sb., o obcích, v platném znění  rozpočtové  opatření  č. 378 r. 2024.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</w:p>
    <w:p w:rsidR="002456B9" w:rsidRDefault="002456B9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456B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6. Odbor rozvoje města</w:t>
      </w:r>
    </w:p>
    <w:p w:rsidR="00A73FE2" w:rsidRDefault="00A73FE2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73FE2" w:rsidRDefault="00A73FE2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6.1 </w:t>
      </w:r>
      <w:r w:rsidRPr="00A73F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Schválení uzavření Dodatku č. 1 na stavbu „Odstranění havarijního stavu v CSS Kyjov – výkopové práce – 1. etapa“  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5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 w:rsidRPr="00A73FE2">
        <w:rPr>
          <w:color w:val="000000" w:themeColor="text1"/>
          <w:szCs w:val="24"/>
        </w:rPr>
        <w:t>a v souladu s ustanovením § 102 odst. 3 zákona č. 128/2000 Sb., o obcích, ve znění pozdějších předpisů, rozhodla o  uzavření dodatku č. 1 ke smlouvě o dílo č. 2024/0501/ORM uzavřené dne 5. 8. 2024 na akci „Odstranění havarijního stavu v CSS Kyjov – výkopové práce – 1. etapa“ se zhotovitelem stavby VHS Břeclav s. r.o., IČ: 423 24 149, se sídlem Lidická 3460/132, 690 03 Břeclav, kterým se upravuje původní rozsah prací o nutné vícepráce. Původní cena dle smlouvy o dílo činí 196.000,00 Kč bez DPH, tj. 237.160,00 Kč vč. DPH. Konečná cena díla bude dodatkem č. 1 zvýšena o částku 31.965,00 Kč bez DPH, tj. 38.677,65 s DPH. Konečná cena díla bude po uzavření dodatku č. 1 činit 227.965,00 Kč bez DPH, tj. 275.837,65 Kč vč. DPH.</w:t>
      </w:r>
    </w:p>
    <w:p w:rsidR="002456B9" w:rsidRDefault="002456B9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73FE2" w:rsidRDefault="00A73FE2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73F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6.2 Parkoviště za kulturním domem – zpracování návrhu studie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6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 w:rsidRPr="00A73FE2">
        <w:rPr>
          <w:color w:val="000000" w:themeColor="text1"/>
          <w:szCs w:val="24"/>
        </w:rPr>
        <w:t xml:space="preserve">a v souladu s ustanovením § 102 odst. 3 zákona č. 128/2000 Sb., o obcích, ve znění pozdějších předpisů, schvaluje objednání studie </w:t>
      </w:r>
      <w:proofErr w:type="spellStart"/>
      <w:r w:rsidRPr="00A73FE2">
        <w:rPr>
          <w:color w:val="000000" w:themeColor="text1"/>
          <w:szCs w:val="24"/>
        </w:rPr>
        <w:t>variatního</w:t>
      </w:r>
      <w:proofErr w:type="spellEnd"/>
      <w:r w:rsidRPr="00A73FE2">
        <w:rPr>
          <w:color w:val="000000" w:themeColor="text1"/>
          <w:szCs w:val="24"/>
        </w:rPr>
        <w:t xml:space="preserve"> řešení na stavbu s názvem „Kyjov – parkoviště za kulturním domem“ dle předložené cenové nabídky společnosti Projekce DS s.r.o., IČ: 02846471, sídlem Na </w:t>
      </w:r>
      <w:proofErr w:type="spellStart"/>
      <w:r w:rsidRPr="00A73FE2">
        <w:rPr>
          <w:color w:val="000000" w:themeColor="text1"/>
          <w:szCs w:val="24"/>
        </w:rPr>
        <w:t>Výhoně</w:t>
      </w:r>
      <w:proofErr w:type="spellEnd"/>
      <w:r w:rsidRPr="00A73FE2">
        <w:rPr>
          <w:color w:val="000000" w:themeColor="text1"/>
          <w:szCs w:val="24"/>
        </w:rPr>
        <w:t xml:space="preserve"> 3223, 695 01 Hodonín za celkovou částku ve výši 47.190,- Kč vč. DPH.</w:t>
      </w:r>
    </w:p>
    <w:p w:rsidR="00A73FE2" w:rsidRDefault="00A73FE2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73FE2" w:rsidRDefault="00A73FE2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6.3 </w:t>
      </w:r>
      <w:r w:rsidRPr="00A73F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Vyhlášení VZ v režimu zákona č. 134/2016 Sb. „Výměna svítidel veřejného osvětlení ve městě Kyjov – 4. etapa“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7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 w:rsidRPr="00A73FE2">
        <w:rPr>
          <w:color w:val="000000" w:themeColor="text1"/>
          <w:szCs w:val="24"/>
        </w:rPr>
        <w:t>v souladu s ustanovením § 102 odst. 3 zákona č. 128/2000 Sb., o obcích, ve znění pozdějších předpisů, schvaluje Zadávací dokumentaci (včetně příloh) a složení komise pro otevírání nabídek v elektronické podobě a komise pro posouzení splnění podmínek účasti v zadávacím řízení a hodnocení nabídek, pro veřejnou zakázku dle zákona č. 134/2016 Sb., o zadávání veřejných zakázek, s názvem „Výměna svítidel veřejného osvětlení ve městě Kyjov – 4. etapa“, v předloženém znění dle přiložených příloh.</w:t>
      </w:r>
    </w:p>
    <w:p w:rsidR="00A73FE2" w:rsidRPr="00A73FE2" w:rsidRDefault="00A73FE2" w:rsidP="00A73FE2">
      <w:pPr>
        <w:pStyle w:val="Zkladntext"/>
        <w:spacing w:before="0" w:after="0"/>
        <w:rPr>
          <w:color w:val="000000" w:themeColor="text1"/>
          <w:szCs w:val="24"/>
        </w:rPr>
      </w:pPr>
      <w:r w:rsidRPr="00A73FE2">
        <w:rPr>
          <w:color w:val="000000" w:themeColor="text1"/>
          <w:szCs w:val="24"/>
        </w:rPr>
        <w:t xml:space="preserve">Rada města pověřuje zaměstnance města Kyjova Bc.  Evu Julínkovou a Mgr. Evu </w:t>
      </w:r>
      <w:proofErr w:type="spellStart"/>
      <w:r w:rsidRPr="00A73FE2">
        <w:rPr>
          <w:color w:val="000000" w:themeColor="text1"/>
          <w:szCs w:val="24"/>
        </w:rPr>
        <w:t>Fialíkovou</w:t>
      </w:r>
      <w:proofErr w:type="spellEnd"/>
      <w:r w:rsidRPr="00A73FE2">
        <w:rPr>
          <w:color w:val="000000" w:themeColor="text1"/>
          <w:szCs w:val="24"/>
        </w:rPr>
        <w:t xml:space="preserve"> pro administraci veřejné zakázky dle zákona č. 134/2016 Sb., s názvem „Výměna svítidel veřejného osvětlení ve městě Kyjov – 4. etapa“, a signováním dokumentace spojené s administrací v zadávacím řízení.</w:t>
      </w:r>
    </w:p>
    <w:p w:rsidR="00A73FE2" w:rsidRDefault="00A73FE2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2776A" w:rsidRDefault="0032776A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6.4 </w:t>
      </w:r>
      <w:r w:rsidRPr="003277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Schválení uzavření Dodatku č. 3 na stavbu „Stavební úpravy MK Svatoborská a Pod Kohoutkem“  </w:t>
      </w:r>
    </w:p>
    <w:p w:rsidR="0032776A" w:rsidRDefault="0032776A" w:rsidP="0032776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2776A" w:rsidRDefault="0032776A" w:rsidP="0032776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8</w:t>
      </w:r>
    </w:p>
    <w:p w:rsidR="0032776A" w:rsidRPr="00A73FE2" w:rsidRDefault="0032776A" w:rsidP="0032776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32776A" w:rsidRPr="0032776A" w:rsidRDefault="0032776A" w:rsidP="0032776A">
      <w:pPr>
        <w:pStyle w:val="Zkladntext"/>
        <w:spacing w:before="0" w:after="0"/>
        <w:rPr>
          <w:color w:val="000000" w:themeColor="text1"/>
          <w:szCs w:val="24"/>
        </w:rPr>
      </w:pPr>
      <w:r w:rsidRPr="0032776A">
        <w:rPr>
          <w:color w:val="000000" w:themeColor="text1"/>
          <w:szCs w:val="24"/>
        </w:rPr>
        <w:t>a v souladu s ustanovením § 102 odst. 3 zákona č. 128/2000 Sb., o obcích, ve znění pozdějších předpisů, rozhodla o  uzavření dodatku č. 3 ke smlouvě o dílo č. 2024/0497/ORM uzavřené dne 15. 7. 2024 ve znění pozdějších dodatků na akci „Stavební úpravy MK Svatoborská a Pod Kohoutkem“ se zhotovitelem stavby VHS Břeclav s. r.o., IČ: 423 24 149, se sídlem Lidická 3460/132, 690 03 Břeclav, kterým se upravuje termín dokončení stavebních prací v bodu 4.2 Smlouvy o dílo z původního termínu do 4. 12. 2024 na termín do 20. 12. 2024.</w:t>
      </w:r>
    </w:p>
    <w:p w:rsidR="0032776A" w:rsidRDefault="0032776A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41393" w:rsidRDefault="00041393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6.5 </w:t>
      </w:r>
      <w:r w:rsidRPr="0004139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Schválení etapizace projektu „Přechod pro chodce, ul. Dvořákova, Kyjov“  </w:t>
      </w:r>
    </w:p>
    <w:p w:rsidR="00041393" w:rsidRDefault="00041393" w:rsidP="0004139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41393" w:rsidRDefault="00041393" w:rsidP="0004139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2. 12. 2024 č. 62/1</w:t>
      </w:r>
      <w:r w:rsidR="003A4F6D">
        <w:rPr>
          <w:color w:val="000000" w:themeColor="text1"/>
          <w:szCs w:val="24"/>
        </w:rPr>
        <w:t>9</w:t>
      </w:r>
    </w:p>
    <w:p w:rsidR="00041393" w:rsidRPr="00A73FE2" w:rsidRDefault="00041393" w:rsidP="0004139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41393" w:rsidRPr="00041393" w:rsidRDefault="00041393" w:rsidP="00041393">
      <w:pPr>
        <w:pStyle w:val="Zkladntext"/>
        <w:spacing w:before="0" w:after="0"/>
        <w:rPr>
          <w:color w:val="000000" w:themeColor="text1"/>
          <w:szCs w:val="24"/>
        </w:rPr>
      </w:pPr>
      <w:r w:rsidRPr="00041393">
        <w:rPr>
          <w:color w:val="000000" w:themeColor="text1"/>
          <w:szCs w:val="24"/>
        </w:rPr>
        <w:t xml:space="preserve">a v souladu s ustanovením § 102 odst. 3 zákona č. 128/2000 Sb., o obcích, ve znění pozdějších předpisů, rozhodla o  schválení návrhu na realizaci projektu „Přechod pro chodce, ul. Dvořákova, Kyjov“ na dvě etapy. První etapa bude pokračovat dle  schválené a uzavřené smlouvy o dílo se zhotovitelem STAVBY SR </w:t>
      </w:r>
      <w:proofErr w:type="spellStart"/>
      <w:r w:rsidRPr="00041393">
        <w:rPr>
          <w:color w:val="000000" w:themeColor="text1"/>
          <w:szCs w:val="24"/>
        </w:rPr>
        <w:t>group</w:t>
      </w:r>
      <w:proofErr w:type="spellEnd"/>
      <w:r w:rsidRPr="00041393">
        <w:rPr>
          <w:color w:val="000000" w:themeColor="text1"/>
          <w:szCs w:val="24"/>
        </w:rPr>
        <w:t xml:space="preserve"> s.r.o. ze dne 29.10.2024, jejímž předmětem je realizace přechodu pro chodce přes místní komunikaci na ulici Dvořákova města Kyjov pomocí dopravního značení na principu optického klamu , úprava okolních chodníkových ploch, přesun kontejnerových stání, nové nasvětlení přechodu a přesun veřejného osvětlení. Druhá etapa, která řeší přemístění autobusových zastávek veřejné městské dopravy, zvýšení přechodu pro chodce a úpravy místního dopravního značení (</w:t>
      </w:r>
      <w:proofErr w:type="spellStart"/>
      <w:r w:rsidRPr="00041393">
        <w:rPr>
          <w:color w:val="000000" w:themeColor="text1"/>
          <w:szCs w:val="24"/>
        </w:rPr>
        <w:t>zjednosměrnění</w:t>
      </w:r>
      <w:proofErr w:type="spellEnd"/>
      <w:r w:rsidRPr="00041393">
        <w:rPr>
          <w:color w:val="000000" w:themeColor="text1"/>
          <w:szCs w:val="24"/>
        </w:rPr>
        <w:t xml:space="preserve"> ulice Urbanova), se bude realizovat až po vyhodnocení projektu „Plán udržitelné městské mobility města Kyjov“.</w:t>
      </w:r>
    </w:p>
    <w:p w:rsidR="00041393" w:rsidRDefault="00041393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443DE" w:rsidRDefault="000443DE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6.6 </w:t>
      </w:r>
      <w:r w:rsidRPr="000443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Uzavření dohody o spolupráci při opravě povrchu cyklostezky </w:t>
      </w:r>
      <w:proofErr w:type="spellStart"/>
      <w:r w:rsidRPr="000443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Mutěnka</w:t>
      </w:r>
      <w:proofErr w:type="spellEnd"/>
    </w:p>
    <w:p w:rsidR="000443DE" w:rsidRDefault="000443DE" w:rsidP="000443D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443DE" w:rsidRDefault="000443DE" w:rsidP="000443D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Rady města K</w:t>
      </w:r>
      <w:r w:rsidR="003A4F6D">
        <w:rPr>
          <w:color w:val="000000" w:themeColor="text1"/>
          <w:szCs w:val="24"/>
        </w:rPr>
        <w:t>yjova ze dne 2. 12. 2024 č. 62/20</w:t>
      </w:r>
    </w:p>
    <w:p w:rsidR="000443DE" w:rsidRPr="00A73FE2" w:rsidRDefault="000443DE" w:rsidP="000443D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443DE" w:rsidRPr="000443DE" w:rsidRDefault="000443DE" w:rsidP="000443DE">
      <w:pPr>
        <w:pStyle w:val="Zkladntext"/>
        <w:spacing w:before="0" w:after="0"/>
        <w:rPr>
          <w:color w:val="000000" w:themeColor="text1"/>
          <w:szCs w:val="24"/>
        </w:rPr>
      </w:pPr>
      <w:r w:rsidRPr="000443DE">
        <w:rPr>
          <w:color w:val="000000" w:themeColor="text1"/>
          <w:szCs w:val="24"/>
        </w:rPr>
        <w:t xml:space="preserve">v souladu s ustanovením § 102 odst. 3 zákona č. 128/2000 Sb., o obcích, ve znění pozdějších předpisů rozhodla o uzavření dohody o spolupráci mezi Městem Kyjov a Dobrovolným svazkem obcí </w:t>
      </w:r>
      <w:proofErr w:type="spellStart"/>
      <w:r w:rsidRPr="000443DE">
        <w:rPr>
          <w:color w:val="000000" w:themeColor="text1"/>
          <w:szCs w:val="24"/>
        </w:rPr>
        <w:t>Mutěnka</w:t>
      </w:r>
      <w:proofErr w:type="spellEnd"/>
      <w:r w:rsidRPr="000443DE">
        <w:rPr>
          <w:color w:val="000000" w:themeColor="text1"/>
          <w:szCs w:val="24"/>
        </w:rPr>
        <w:t>, Masarykovo nám. 30/1, 697 01 Kyjov, IČO: 72057980 a  Městem Dubňany, Nám. 15. dubna 1149, 696 03 Dubňany, IČO: 00284882 a Obcí  Svatobořice-</w:t>
      </w:r>
      <w:proofErr w:type="spellStart"/>
      <w:r w:rsidRPr="000443DE">
        <w:rPr>
          <w:color w:val="000000" w:themeColor="text1"/>
          <w:szCs w:val="24"/>
        </w:rPr>
        <w:t>Mistřín</w:t>
      </w:r>
      <w:proofErr w:type="spellEnd"/>
      <w:r w:rsidRPr="000443DE">
        <w:rPr>
          <w:color w:val="000000" w:themeColor="text1"/>
          <w:szCs w:val="24"/>
        </w:rPr>
        <w:t>, Hlavní 1000/113, 696 04 Svatobořice-</w:t>
      </w:r>
      <w:proofErr w:type="spellStart"/>
      <w:r w:rsidRPr="000443DE">
        <w:rPr>
          <w:color w:val="000000" w:themeColor="text1"/>
          <w:szCs w:val="24"/>
        </w:rPr>
        <w:t>Mistřín</w:t>
      </w:r>
      <w:proofErr w:type="spellEnd"/>
      <w:r w:rsidRPr="000443DE">
        <w:rPr>
          <w:color w:val="000000" w:themeColor="text1"/>
          <w:szCs w:val="24"/>
        </w:rPr>
        <w:t xml:space="preserve">, IČO: 00285358 a Obcí  Mutěnice, Masarykova 200, 696 11 Mutěnice, IČO: 0285145, a to za účelem opravy povrchu cyklostezky </w:t>
      </w:r>
      <w:proofErr w:type="spellStart"/>
      <w:r w:rsidRPr="000443DE">
        <w:rPr>
          <w:color w:val="000000" w:themeColor="text1"/>
          <w:szCs w:val="24"/>
        </w:rPr>
        <w:t>Mutěnka</w:t>
      </w:r>
      <w:proofErr w:type="spellEnd"/>
      <w:r w:rsidRPr="000443DE">
        <w:rPr>
          <w:color w:val="000000" w:themeColor="text1"/>
          <w:szCs w:val="24"/>
        </w:rPr>
        <w:t xml:space="preserve"> a podání žádosti o dotaci z rozpočtu Jihomoravského kraje.</w:t>
      </w:r>
    </w:p>
    <w:p w:rsidR="000443DE" w:rsidRPr="002456B9" w:rsidRDefault="000443DE" w:rsidP="002456B9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456B9" w:rsidRDefault="002456B9" w:rsidP="002456B9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456B9">
        <w:rPr>
          <w:b/>
          <w:bCs/>
          <w:iCs/>
        </w:rPr>
        <w:t>7. Různé</w:t>
      </w:r>
    </w:p>
    <w:p w:rsidR="000443DE" w:rsidRDefault="000443DE" w:rsidP="000443DE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443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7.1 Kupní smlouva na prodej traktoru</w:t>
      </w:r>
    </w:p>
    <w:p w:rsidR="000443DE" w:rsidRDefault="000443DE" w:rsidP="000443D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443DE" w:rsidRDefault="000443DE" w:rsidP="000443D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62/21</w:t>
      </w:r>
    </w:p>
    <w:p w:rsidR="000443DE" w:rsidRPr="00A73FE2" w:rsidRDefault="000443DE" w:rsidP="000443D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 w:rsidR="000F6294"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0443DE" w:rsidRPr="000443DE" w:rsidRDefault="000443DE" w:rsidP="000443DE">
      <w:pPr>
        <w:pStyle w:val="Zkladntext"/>
        <w:spacing w:before="0" w:after="0"/>
        <w:rPr>
          <w:color w:val="000000" w:themeColor="text1"/>
          <w:szCs w:val="24"/>
        </w:rPr>
      </w:pPr>
      <w:r w:rsidRPr="000443DE">
        <w:rPr>
          <w:color w:val="000000" w:themeColor="text1"/>
          <w:szCs w:val="24"/>
        </w:rPr>
        <w:t xml:space="preserve">a v souladu s ustanovením § 102 odst. 3 zákona 128/2000 Sb., o obcích, ve znění pozdějších předpisů, rozhodla o prodeji Malotraktoru AGT 835 </w:t>
      </w:r>
      <w:r w:rsidRPr="000443DE">
        <w:rPr>
          <w:color w:val="000000" w:themeColor="text1"/>
          <w:szCs w:val="24"/>
        </w:rPr>
        <w:br/>
        <w:t xml:space="preserve">a o uzavření kupní smlouvy na jeho prodej mezi městem Kyjovem, IČ: 00285030, jako prodávajícím, a </w:t>
      </w:r>
      <w:r w:rsidR="004F02C1">
        <w:rPr>
          <w:color w:val="000000" w:themeColor="text1"/>
          <w:szCs w:val="24"/>
        </w:rPr>
        <w:t>S. I.</w:t>
      </w:r>
      <w:r w:rsidRPr="000443DE">
        <w:rPr>
          <w:color w:val="000000" w:themeColor="text1"/>
          <w:szCs w:val="24"/>
        </w:rPr>
        <w:t xml:space="preserve">, nar. </w:t>
      </w:r>
      <w:r w:rsidR="004F02C1">
        <w:rPr>
          <w:color w:val="000000" w:themeColor="text1"/>
          <w:szCs w:val="24"/>
        </w:rPr>
        <w:t>XXX</w:t>
      </w:r>
      <w:r w:rsidRPr="000443DE">
        <w:rPr>
          <w:color w:val="000000" w:themeColor="text1"/>
          <w:szCs w:val="24"/>
        </w:rPr>
        <w:t>, bytem Žeravice, jako kupujícím, který byl určen jako první v pořadí v rámci Výzvy k podání nabídek na jeho prodej ze dne 12. 11. 2024, za kupní cenu ve výši 20.777 Kč.</w:t>
      </w:r>
    </w:p>
    <w:p w:rsidR="000F6294" w:rsidRDefault="000F6294" w:rsidP="006F3F4C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0F6294" w:rsidRDefault="000F6294" w:rsidP="006F3F4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6294" w:rsidRDefault="000F6294" w:rsidP="000F629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F6294" w:rsidRDefault="000F6294" w:rsidP="000F629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62/22</w:t>
      </w:r>
    </w:p>
    <w:p w:rsidR="000F6294" w:rsidRPr="00A73FE2" w:rsidRDefault="000F6294" w:rsidP="000F629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5463C1" w:rsidRPr="005463C1" w:rsidRDefault="005463C1" w:rsidP="005463C1">
      <w:pPr>
        <w:pStyle w:val="Zkladntext"/>
        <w:spacing w:before="0" w:after="0"/>
        <w:rPr>
          <w:color w:val="000000" w:themeColor="text1"/>
          <w:szCs w:val="24"/>
        </w:rPr>
      </w:pPr>
      <w:r w:rsidRPr="005463C1">
        <w:rPr>
          <w:color w:val="000000" w:themeColor="text1"/>
          <w:szCs w:val="24"/>
        </w:rPr>
        <w:t>revokuje usnesení č. 59/47 ze dne 21. 10. 2024 ve znění:</w:t>
      </w:r>
    </w:p>
    <w:p w:rsidR="005463C1" w:rsidRPr="005463C1" w:rsidRDefault="005463C1" w:rsidP="005463C1">
      <w:pPr>
        <w:pStyle w:val="Zkladntext"/>
        <w:spacing w:before="0" w:after="0"/>
        <w:rPr>
          <w:color w:val="000000" w:themeColor="text1"/>
          <w:szCs w:val="24"/>
        </w:rPr>
      </w:pPr>
      <w:r w:rsidRPr="005463C1">
        <w:rPr>
          <w:color w:val="000000" w:themeColor="text1"/>
          <w:szCs w:val="24"/>
        </w:rPr>
        <w:t xml:space="preserve">Rada města Kyjova po projednání a v souladu s ustanovením § 102 odst. 3 zákona č. 128/2000 Sb., o obcích, ve znění pozdějších předpisů, schvaluje Výzvu k podání nabídky a zadávací dokumentaci (včetně příloh) a složení komise pro otevírání nabídek v elektronické podobě a komise pro posouzení splnění podmínek účasti v zadávacím řízení a hodnocení nabídek, pro veřejnou zakázku dle zákona č. 134/2016 Sb., o zadávání veřejných zakázek, ve znění pozdějších předpisů, s názvem „Stavební úpravy objektu č.p. 2650 v Kyjově – hudební klub </w:t>
      </w:r>
      <w:proofErr w:type="spellStart"/>
      <w:r w:rsidRPr="005463C1">
        <w:rPr>
          <w:color w:val="000000" w:themeColor="text1"/>
          <w:szCs w:val="24"/>
        </w:rPr>
        <w:t>Jančovka</w:t>
      </w:r>
      <w:proofErr w:type="spellEnd"/>
      <w:r w:rsidRPr="005463C1">
        <w:rPr>
          <w:color w:val="000000" w:themeColor="text1"/>
          <w:szCs w:val="24"/>
        </w:rPr>
        <w:t>“, v předloženém znění dle přiložených příloh. Zadávací řízení bude vyhlášeno až poté a pouze v případě, že bude městu Kyjov přiznána dotace z rozpočtu Jihomoravského kraje ve výši minimálně 70% z požadované částky, tj. z 10 000 000 Kč.</w:t>
      </w:r>
    </w:p>
    <w:p w:rsidR="005463C1" w:rsidRPr="005463C1" w:rsidRDefault="005463C1" w:rsidP="005463C1">
      <w:pPr>
        <w:pStyle w:val="Zkladntext"/>
        <w:spacing w:before="0" w:after="0"/>
        <w:rPr>
          <w:color w:val="000000" w:themeColor="text1"/>
          <w:szCs w:val="24"/>
        </w:rPr>
      </w:pPr>
      <w:r w:rsidRPr="005463C1">
        <w:rPr>
          <w:color w:val="000000" w:themeColor="text1"/>
          <w:szCs w:val="24"/>
        </w:rPr>
        <w:t xml:space="preserve">Rada města pověřuje zaměstnankyně města Kyjova Mgr. Evu </w:t>
      </w:r>
      <w:proofErr w:type="spellStart"/>
      <w:r w:rsidRPr="005463C1">
        <w:rPr>
          <w:color w:val="000000" w:themeColor="text1"/>
          <w:szCs w:val="24"/>
        </w:rPr>
        <w:t>Fialíkovou</w:t>
      </w:r>
      <w:proofErr w:type="spellEnd"/>
      <w:r w:rsidRPr="005463C1">
        <w:rPr>
          <w:color w:val="000000" w:themeColor="text1"/>
          <w:szCs w:val="24"/>
        </w:rPr>
        <w:t xml:space="preserve"> a Bc.  Evu Julínkovou administrací veřejné zakázky dle zákona č. 134/2016 Sb., s názvem „Stavební úpravy objektu č.p. 2650 v Kyjově – hudební klub </w:t>
      </w:r>
      <w:proofErr w:type="spellStart"/>
      <w:r w:rsidRPr="005463C1">
        <w:rPr>
          <w:color w:val="000000" w:themeColor="text1"/>
          <w:szCs w:val="24"/>
        </w:rPr>
        <w:t>Jančovka</w:t>
      </w:r>
      <w:proofErr w:type="spellEnd"/>
      <w:r w:rsidRPr="005463C1">
        <w:rPr>
          <w:color w:val="000000" w:themeColor="text1"/>
          <w:szCs w:val="24"/>
        </w:rPr>
        <w:t xml:space="preserve">“, a signováním dokumentace spojené s administrací v  zadávacím řízení. </w:t>
      </w:r>
    </w:p>
    <w:p w:rsidR="005463C1" w:rsidRPr="005463C1" w:rsidRDefault="005463C1" w:rsidP="005463C1">
      <w:pPr>
        <w:pStyle w:val="Zkladntext"/>
        <w:spacing w:before="0" w:after="0"/>
        <w:rPr>
          <w:color w:val="000000" w:themeColor="text1"/>
          <w:szCs w:val="24"/>
        </w:rPr>
      </w:pPr>
      <w:r w:rsidRPr="005463C1">
        <w:rPr>
          <w:color w:val="000000" w:themeColor="text1"/>
          <w:szCs w:val="24"/>
        </w:rPr>
        <w:t>A nahrazuje jej následujícím usnesením:</w:t>
      </w:r>
    </w:p>
    <w:p w:rsidR="005463C1" w:rsidRPr="005463C1" w:rsidRDefault="005463C1" w:rsidP="005463C1">
      <w:pPr>
        <w:pStyle w:val="Zkladntext"/>
        <w:spacing w:before="0" w:after="0"/>
        <w:rPr>
          <w:color w:val="000000" w:themeColor="text1"/>
          <w:szCs w:val="24"/>
        </w:rPr>
      </w:pPr>
      <w:r w:rsidRPr="005463C1">
        <w:rPr>
          <w:color w:val="000000" w:themeColor="text1"/>
          <w:szCs w:val="24"/>
        </w:rPr>
        <w:t xml:space="preserve">Rada města Kyjova po projednání a v souladu s ustanovením § 102 odst. 3 zákona č. 128/2000 Sb., o obcích, ve znění pozdějších předpisů, schvaluje Výzvu k podání nabídky a zadávací dokumentaci (včetně příloh) a složení komise pro otevírání nabídek v elektronické podobě a komise pro posouzení splnění podmínek účasti v zadávacím řízení a hodnocení nabídek, pro veřejnou zakázku dle zákona č. 134/2016 Sb., o zadávání veřejných zakázek, ve znění pozdějších předpisů, s názvem „Stavební úpravy objektu č.p. 2650 v Kyjově – hudební klub </w:t>
      </w:r>
      <w:proofErr w:type="spellStart"/>
      <w:r w:rsidRPr="005463C1">
        <w:rPr>
          <w:color w:val="000000" w:themeColor="text1"/>
          <w:szCs w:val="24"/>
        </w:rPr>
        <w:t>Jančovka</w:t>
      </w:r>
      <w:proofErr w:type="spellEnd"/>
      <w:r w:rsidRPr="005463C1">
        <w:rPr>
          <w:color w:val="000000" w:themeColor="text1"/>
          <w:szCs w:val="24"/>
        </w:rPr>
        <w:t>“, v předloženém znění dle přiložených příloh.</w:t>
      </w:r>
    </w:p>
    <w:p w:rsidR="005463C1" w:rsidRPr="005463C1" w:rsidRDefault="005463C1" w:rsidP="005463C1">
      <w:pPr>
        <w:pStyle w:val="Zkladntext"/>
        <w:spacing w:before="0" w:after="0"/>
        <w:rPr>
          <w:color w:val="000000" w:themeColor="text1"/>
          <w:szCs w:val="24"/>
        </w:rPr>
      </w:pPr>
      <w:r w:rsidRPr="005463C1">
        <w:rPr>
          <w:color w:val="000000" w:themeColor="text1"/>
          <w:szCs w:val="24"/>
        </w:rPr>
        <w:lastRenderedPageBreak/>
        <w:t xml:space="preserve">Rada města pověřuje zaměstnankyně města Kyjova Mgr. Evu </w:t>
      </w:r>
      <w:proofErr w:type="spellStart"/>
      <w:r w:rsidRPr="005463C1">
        <w:rPr>
          <w:color w:val="000000" w:themeColor="text1"/>
          <w:szCs w:val="24"/>
        </w:rPr>
        <w:t>Fialíkovou</w:t>
      </w:r>
      <w:proofErr w:type="spellEnd"/>
      <w:r w:rsidRPr="005463C1">
        <w:rPr>
          <w:color w:val="000000" w:themeColor="text1"/>
          <w:szCs w:val="24"/>
        </w:rPr>
        <w:t xml:space="preserve"> a Bc.  Evu Julínkovou administrací veřejné zakázky dle zákona č. 134/2016 Sb., s názvem „Stavební úpravy objektu č.p. 2650 v Kyjově – hudební klub </w:t>
      </w:r>
      <w:proofErr w:type="spellStart"/>
      <w:r w:rsidRPr="005463C1">
        <w:rPr>
          <w:color w:val="000000" w:themeColor="text1"/>
          <w:szCs w:val="24"/>
        </w:rPr>
        <w:t>Jančovka</w:t>
      </w:r>
      <w:proofErr w:type="spellEnd"/>
      <w:r w:rsidRPr="005463C1">
        <w:rPr>
          <w:color w:val="000000" w:themeColor="text1"/>
          <w:szCs w:val="24"/>
        </w:rPr>
        <w:t>“, a signováním dokumentace spojené s administrací v  zadávacím řízení.</w:t>
      </w:r>
    </w:p>
    <w:p w:rsidR="000F6294" w:rsidRDefault="000F6294" w:rsidP="006F3F4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5A3C" w:rsidRDefault="001D5A3C" w:rsidP="006F3F4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5A3C" w:rsidRDefault="001D5A3C" w:rsidP="001D5A3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D5A3C" w:rsidRDefault="001D5A3C" w:rsidP="001D5A3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3A4F6D">
        <w:rPr>
          <w:color w:val="000000" w:themeColor="text1"/>
          <w:szCs w:val="24"/>
        </w:rPr>
        <w:t>yjova ze dne 2. 12. 2024 č. 62/23</w:t>
      </w:r>
    </w:p>
    <w:p w:rsidR="001D5A3C" w:rsidRPr="00A73FE2" w:rsidRDefault="001D5A3C" w:rsidP="001D5A3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73FE2">
        <w:rPr>
          <w:color w:val="000000" w:themeColor="text1"/>
          <w:szCs w:val="24"/>
        </w:rPr>
        <w:t>projednání (</w:t>
      </w:r>
      <w:r>
        <w:rPr>
          <w:color w:val="000000" w:themeColor="text1"/>
          <w:szCs w:val="24"/>
        </w:rPr>
        <w:t>5</w:t>
      </w:r>
      <w:r w:rsidRPr="00A73FE2">
        <w:rPr>
          <w:color w:val="000000" w:themeColor="text1"/>
          <w:szCs w:val="24"/>
        </w:rPr>
        <w:t>,0,0)</w:t>
      </w:r>
    </w:p>
    <w:p w:rsidR="00550C54" w:rsidRPr="00550C54" w:rsidRDefault="00550C54" w:rsidP="00550C54">
      <w:pPr>
        <w:pStyle w:val="Zkladntext"/>
        <w:spacing w:before="0" w:after="0"/>
        <w:rPr>
          <w:color w:val="000000" w:themeColor="text1"/>
          <w:szCs w:val="24"/>
        </w:rPr>
      </w:pPr>
      <w:r w:rsidRPr="00550C54">
        <w:rPr>
          <w:color w:val="000000" w:themeColor="text1"/>
          <w:szCs w:val="24"/>
        </w:rPr>
        <w:t xml:space="preserve">v souladu s ustanovením § 102 odst. 3 zákona č. 128/2000 Sb., o obcích, ve znění pozdějších předpisů, souhlasí za město Kyjov, IČ: 00285030, jako vlastníka pozemků </w:t>
      </w:r>
      <w:proofErr w:type="spellStart"/>
      <w:r w:rsidRPr="00550C54">
        <w:rPr>
          <w:color w:val="000000" w:themeColor="text1"/>
          <w:szCs w:val="24"/>
        </w:rPr>
        <w:t>p.č</w:t>
      </w:r>
      <w:proofErr w:type="spellEnd"/>
      <w:r w:rsidRPr="00550C54">
        <w:rPr>
          <w:color w:val="000000" w:themeColor="text1"/>
          <w:szCs w:val="24"/>
        </w:rPr>
        <w:t xml:space="preserve">. 744/1, 743/2, 742/1, 349/1, 349/2, 349/3 v k. </w:t>
      </w:r>
      <w:proofErr w:type="spellStart"/>
      <w:r w:rsidRPr="00550C54">
        <w:rPr>
          <w:color w:val="000000" w:themeColor="text1"/>
          <w:szCs w:val="24"/>
        </w:rPr>
        <w:t>ú.</w:t>
      </w:r>
      <w:proofErr w:type="spellEnd"/>
      <w:r w:rsidRPr="00550C54">
        <w:rPr>
          <w:color w:val="000000" w:themeColor="text1"/>
          <w:szCs w:val="24"/>
        </w:rPr>
        <w:t xml:space="preserve"> Bohuslavice u Kyjova, které jsou součástí přírodní památky Bohuslavické stráně, s provedením pilotních zásahů na potlačení invazních druhů rostlin na těchto pozemcích, které budou realizovány spolkem </w:t>
      </w:r>
      <w:proofErr w:type="spellStart"/>
      <w:r w:rsidRPr="00550C54">
        <w:rPr>
          <w:color w:val="000000" w:themeColor="text1"/>
          <w:szCs w:val="24"/>
        </w:rPr>
        <w:t>Beleco</w:t>
      </w:r>
      <w:proofErr w:type="spellEnd"/>
      <w:r w:rsidRPr="00550C54">
        <w:rPr>
          <w:color w:val="000000" w:themeColor="text1"/>
          <w:szCs w:val="24"/>
        </w:rPr>
        <w:t xml:space="preserve">, </w:t>
      </w:r>
      <w:proofErr w:type="spellStart"/>
      <w:r w:rsidRPr="00550C54">
        <w:rPr>
          <w:color w:val="000000" w:themeColor="text1"/>
          <w:szCs w:val="24"/>
        </w:rPr>
        <w:t>z.s</w:t>
      </w:r>
      <w:proofErr w:type="spellEnd"/>
      <w:r w:rsidRPr="00550C54">
        <w:rPr>
          <w:color w:val="000000" w:themeColor="text1"/>
          <w:szCs w:val="24"/>
        </w:rPr>
        <w:t>., IČ: 02715431, se sídlem Na Zátorce 10, 160 00 Praha 6, v rámci projektu „</w:t>
      </w:r>
      <w:proofErr w:type="spellStart"/>
      <w:r w:rsidRPr="00550C54">
        <w:rPr>
          <w:color w:val="000000" w:themeColor="text1"/>
          <w:szCs w:val="24"/>
        </w:rPr>
        <w:t>Vytvorenie</w:t>
      </w:r>
      <w:proofErr w:type="spellEnd"/>
      <w:r w:rsidRPr="00550C54">
        <w:rPr>
          <w:color w:val="000000" w:themeColor="text1"/>
          <w:szCs w:val="24"/>
        </w:rPr>
        <w:t xml:space="preserve"> </w:t>
      </w:r>
      <w:proofErr w:type="spellStart"/>
      <w:r w:rsidRPr="00550C54">
        <w:rPr>
          <w:color w:val="000000" w:themeColor="text1"/>
          <w:szCs w:val="24"/>
        </w:rPr>
        <w:t>stratégie</w:t>
      </w:r>
      <w:proofErr w:type="spellEnd"/>
      <w:r w:rsidRPr="00550C54">
        <w:rPr>
          <w:color w:val="000000" w:themeColor="text1"/>
          <w:szCs w:val="24"/>
        </w:rPr>
        <w:t xml:space="preserve"> </w:t>
      </w:r>
      <w:proofErr w:type="spellStart"/>
      <w:r w:rsidRPr="00550C54">
        <w:rPr>
          <w:color w:val="000000" w:themeColor="text1"/>
          <w:szCs w:val="24"/>
        </w:rPr>
        <w:t>pre</w:t>
      </w:r>
      <w:proofErr w:type="spellEnd"/>
      <w:r w:rsidRPr="00550C54">
        <w:rPr>
          <w:color w:val="000000" w:themeColor="text1"/>
          <w:szCs w:val="24"/>
        </w:rPr>
        <w:t xml:space="preserve"> </w:t>
      </w:r>
      <w:proofErr w:type="spellStart"/>
      <w:r w:rsidRPr="00550C54">
        <w:rPr>
          <w:color w:val="000000" w:themeColor="text1"/>
          <w:szCs w:val="24"/>
        </w:rPr>
        <w:t>manažment</w:t>
      </w:r>
      <w:proofErr w:type="spellEnd"/>
      <w:r w:rsidRPr="00550C54">
        <w:rPr>
          <w:color w:val="000000" w:themeColor="text1"/>
          <w:szCs w:val="24"/>
        </w:rPr>
        <w:t xml:space="preserve"> </w:t>
      </w:r>
      <w:proofErr w:type="spellStart"/>
      <w:r w:rsidRPr="00550C54">
        <w:rPr>
          <w:color w:val="000000" w:themeColor="text1"/>
          <w:szCs w:val="24"/>
        </w:rPr>
        <w:t>inváznych</w:t>
      </w:r>
      <w:proofErr w:type="spellEnd"/>
      <w:r w:rsidRPr="00550C54">
        <w:rPr>
          <w:color w:val="000000" w:themeColor="text1"/>
          <w:szCs w:val="24"/>
        </w:rPr>
        <w:t xml:space="preserve"> </w:t>
      </w:r>
      <w:proofErr w:type="spellStart"/>
      <w:r w:rsidRPr="00550C54">
        <w:rPr>
          <w:color w:val="000000" w:themeColor="text1"/>
          <w:szCs w:val="24"/>
        </w:rPr>
        <w:t>druhov</w:t>
      </w:r>
      <w:proofErr w:type="spellEnd"/>
      <w:r w:rsidRPr="00550C54">
        <w:rPr>
          <w:color w:val="000000" w:themeColor="text1"/>
          <w:szCs w:val="24"/>
        </w:rPr>
        <w:t xml:space="preserve"> </w:t>
      </w:r>
      <w:proofErr w:type="spellStart"/>
      <w:r w:rsidRPr="00550C54">
        <w:rPr>
          <w:color w:val="000000" w:themeColor="text1"/>
          <w:szCs w:val="24"/>
        </w:rPr>
        <w:t>Názov</w:t>
      </w:r>
      <w:proofErr w:type="spellEnd"/>
      <w:r w:rsidRPr="00550C54">
        <w:rPr>
          <w:color w:val="000000" w:themeColor="text1"/>
          <w:szCs w:val="24"/>
        </w:rPr>
        <w:t xml:space="preserve"> projektu: v </w:t>
      </w:r>
      <w:proofErr w:type="spellStart"/>
      <w:r w:rsidRPr="00550C54">
        <w:rPr>
          <w:color w:val="000000" w:themeColor="text1"/>
          <w:szCs w:val="24"/>
        </w:rPr>
        <w:t>cezhraničnom</w:t>
      </w:r>
      <w:proofErr w:type="spellEnd"/>
      <w:r w:rsidRPr="00550C54">
        <w:rPr>
          <w:color w:val="000000" w:themeColor="text1"/>
          <w:szCs w:val="24"/>
        </w:rPr>
        <w:t xml:space="preserve"> regióne SK-CZ“ podpořeného z programu </w:t>
      </w:r>
      <w:proofErr w:type="spellStart"/>
      <w:r w:rsidRPr="00550C54">
        <w:rPr>
          <w:color w:val="000000" w:themeColor="text1"/>
          <w:szCs w:val="24"/>
        </w:rPr>
        <w:t>Interreg</w:t>
      </w:r>
      <w:proofErr w:type="spellEnd"/>
      <w:r w:rsidRPr="00550C54">
        <w:rPr>
          <w:color w:val="000000" w:themeColor="text1"/>
          <w:szCs w:val="24"/>
        </w:rPr>
        <w:t xml:space="preserve"> SK-CZ.</w:t>
      </w:r>
    </w:p>
    <w:p w:rsidR="000F6294" w:rsidRPr="000F6294" w:rsidRDefault="000F6294" w:rsidP="006F3F4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6294" w:rsidRDefault="000F6294" w:rsidP="006F3F4C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075788" w:rsidRDefault="00075788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8307C8" w:rsidRDefault="008307C8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Pr="00AC694C" w:rsidRDefault="004F2A7C" w:rsidP="000627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0E6A0C">
        <w:rPr>
          <w:rFonts w:ascii="Times New Roman" w:hAnsi="Times New Roman" w:cs="Times New Roman"/>
          <w:sz w:val="24"/>
          <w:szCs w:val="24"/>
        </w:rPr>
        <w:tab/>
      </w: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BB00E9A"/>
    <w:multiLevelType w:val="hybridMultilevel"/>
    <w:tmpl w:val="2826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20"/>
  </w:num>
  <w:num w:numId="9">
    <w:abstractNumId w:val="14"/>
  </w:num>
  <w:num w:numId="10">
    <w:abstractNumId w:val="15"/>
  </w:num>
  <w:num w:numId="11">
    <w:abstractNumId w:val="19"/>
  </w:num>
  <w:num w:numId="12">
    <w:abstractNumId w:val="13"/>
  </w:num>
  <w:num w:numId="13">
    <w:abstractNumId w:val="22"/>
  </w:num>
  <w:num w:numId="14">
    <w:abstractNumId w:val="10"/>
  </w:num>
  <w:num w:numId="15">
    <w:abstractNumId w:val="21"/>
  </w:num>
  <w:num w:numId="16">
    <w:abstractNumId w:val="6"/>
  </w:num>
  <w:num w:numId="17">
    <w:abstractNumId w:val="17"/>
  </w:num>
  <w:num w:numId="18">
    <w:abstractNumId w:val="3"/>
  </w:num>
  <w:num w:numId="19">
    <w:abstractNumId w:val="4"/>
  </w:num>
  <w:num w:numId="20">
    <w:abstractNumId w:val="9"/>
  </w:num>
  <w:num w:numId="21">
    <w:abstractNumId w:val="16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BD9"/>
    <w:rsid w:val="0000162A"/>
    <w:rsid w:val="000019E7"/>
    <w:rsid w:val="00002520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672B"/>
    <w:rsid w:val="00026A79"/>
    <w:rsid w:val="00032BCE"/>
    <w:rsid w:val="00041393"/>
    <w:rsid w:val="000443DE"/>
    <w:rsid w:val="00044EFA"/>
    <w:rsid w:val="0004578B"/>
    <w:rsid w:val="00046062"/>
    <w:rsid w:val="000512A5"/>
    <w:rsid w:val="00051527"/>
    <w:rsid w:val="0005156C"/>
    <w:rsid w:val="00054CEE"/>
    <w:rsid w:val="000555FB"/>
    <w:rsid w:val="00055BB9"/>
    <w:rsid w:val="00060BCC"/>
    <w:rsid w:val="0006171B"/>
    <w:rsid w:val="000627DF"/>
    <w:rsid w:val="000636F5"/>
    <w:rsid w:val="0006518A"/>
    <w:rsid w:val="0006706D"/>
    <w:rsid w:val="00071B9B"/>
    <w:rsid w:val="00075788"/>
    <w:rsid w:val="00076EEA"/>
    <w:rsid w:val="000777D6"/>
    <w:rsid w:val="00080111"/>
    <w:rsid w:val="00080ADD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B1245"/>
    <w:rsid w:val="000B3350"/>
    <w:rsid w:val="000B46E7"/>
    <w:rsid w:val="000C12A5"/>
    <w:rsid w:val="000C3691"/>
    <w:rsid w:val="000C448C"/>
    <w:rsid w:val="000C64DC"/>
    <w:rsid w:val="000C73B7"/>
    <w:rsid w:val="000C750A"/>
    <w:rsid w:val="000D1888"/>
    <w:rsid w:val="000D2250"/>
    <w:rsid w:val="000D2C2A"/>
    <w:rsid w:val="000D672E"/>
    <w:rsid w:val="000E0FBC"/>
    <w:rsid w:val="000E20EF"/>
    <w:rsid w:val="000E45AE"/>
    <w:rsid w:val="000E6A0C"/>
    <w:rsid w:val="000E7C41"/>
    <w:rsid w:val="000F02E5"/>
    <w:rsid w:val="000F26FF"/>
    <w:rsid w:val="000F290A"/>
    <w:rsid w:val="000F60A9"/>
    <w:rsid w:val="000F6294"/>
    <w:rsid w:val="001001DA"/>
    <w:rsid w:val="001026F9"/>
    <w:rsid w:val="00103F3E"/>
    <w:rsid w:val="00105093"/>
    <w:rsid w:val="0010597D"/>
    <w:rsid w:val="001062FA"/>
    <w:rsid w:val="0011124C"/>
    <w:rsid w:val="00113F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746E"/>
    <w:rsid w:val="00130033"/>
    <w:rsid w:val="00130FAA"/>
    <w:rsid w:val="00136DB5"/>
    <w:rsid w:val="00137301"/>
    <w:rsid w:val="00145998"/>
    <w:rsid w:val="00150F16"/>
    <w:rsid w:val="00151DA4"/>
    <w:rsid w:val="001525F6"/>
    <w:rsid w:val="0015277B"/>
    <w:rsid w:val="00155330"/>
    <w:rsid w:val="0016031C"/>
    <w:rsid w:val="0016150F"/>
    <w:rsid w:val="00161757"/>
    <w:rsid w:val="00162C4A"/>
    <w:rsid w:val="00162D9A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211E"/>
    <w:rsid w:val="001A2AC0"/>
    <w:rsid w:val="001A3225"/>
    <w:rsid w:val="001A485C"/>
    <w:rsid w:val="001A48E8"/>
    <w:rsid w:val="001A6C7E"/>
    <w:rsid w:val="001A6F93"/>
    <w:rsid w:val="001B6B19"/>
    <w:rsid w:val="001B6C00"/>
    <w:rsid w:val="001C0141"/>
    <w:rsid w:val="001C18B9"/>
    <w:rsid w:val="001C3DA1"/>
    <w:rsid w:val="001C3E1D"/>
    <w:rsid w:val="001C74EB"/>
    <w:rsid w:val="001D0E98"/>
    <w:rsid w:val="001D2CB4"/>
    <w:rsid w:val="001D3F6D"/>
    <w:rsid w:val="001D47F4"/>
    <w:rsid w:val="001D5A3C"/>
    <w:rsid w:val="001D6B82"/>
    <w:rsid w:val="001D7651"/>
    <w:rsid w:val="001E00F1"/>
    <w:rsid w:val="001E1505"/>
    <w:rsid w:val="001E1546"/>
    <w:rsid w:val="001E4983"/>
    <w:rsid w:val="001E57D9"/>
    <w:rsid w:val="001E5A4E"/>
    <w:rsid w:val="001E5E66"/>
    <w:rsid w:val="001E60E7"/>
    <w:rsid w:val="001E6F58"/>
    <w:rsid w:val="001E7E2F"/>
    <w:rsid w:val="001E7F3E"/>
    <w:rsid w:val="001F1859"/>
    <w:rsid w:val="001F712C"/>
    <w:rsid w:val="0020516E"/>
    <w:rsid w:val="00205700"/>
    <w:rsid w:val="0020737F"/>
    <w:rsid w:val="002117C5"/>
    <w:rsid w:val="00214B70"/>
    <w:rsid w:val="00216EF4"/>
    <w:rsid w:val="00216F22"/>
    <w:rsid w:val="00220560"/>
    <w:rsid w:val="00220C59"/>
    <w:rsid w:val="002212C2"/>
    <w:rsid w:val="00221AA0"/>
    <w:rsid w:val="0022346F"/>
    <w:rsid w:val="00223A25"/>
    <w:rsid w:val="0022551A"/>
    <w:rsid w:val="0022587D"/>
    <w:rsid w:val="00225EC4"/>
    <w:rsid w:val="00231E8B"/>
    <w:rsid w:val="002333EE"/>
    <w:rsid w:val="0023371C"/>
    <w:rsid w:val="00236526"/>
    <w:rsid w:val="00237A80"/>
    <w:rsid w:val="00237E80"/>
    <w:rsid w:val="00242271"/>
    <w:rsid w:val="002456B9"/>
    <w:rsid w:val="00250A1E"/>
    <w:rsid w:val="00252E6E"/>
    <w:rsid w:val="00256C91"/>
    <w:rsid w:val="002643AE"/>
    <w:rsid w:val="002651AB"/>
    <w:rsid w:val="002701BB"/>
    <w:rsid w:val="00270E62"/>
    <w:rsid w:val="002728A7"/>
    <w:rsid w:val="00276669"/>
    <w:rsid w:val="00276918"/>
    <w:rsid w:val="002773C7"/>
    <w:rsid w:val="002778D6"/>
    <w:rsid w:val="00277E19"/>
    <w:rsid w:val="00283147"/>
    <w:rsid w:val="00283639"/>
    <w:rsid w:val="002869AA"/>
    <w:rsid w:val="00290D7D"/>
    <w:rsid w:val="00291485"/>
    <w:rsid w:val="00293232"/>
    <w:rsid w:val="00293FDB"/>
    <w:rsid w:val="00294153"/>
    <w:rsid w:val="00294558"/>
    <w:rsid w:val="00295588"/>
    <w:rsid w:val="002970D6"/>
    <w:rsid w:val="002A1D28"/>
    <w:rsid w:val="002A2237"/>
    <w:rsid w:val="002B26EA"/>
    <w:rsid w:val="002B2A15"/>
    <w:rsid w:val="002B64D7"/>
    <w:rsid w:val="002C08F7"/>
    <w:rsid w:val="002C18CA"/>
    <w:rsid w:val="002C6768"/>
    <w:rsid w:val="002D51B4"/>
    <w:rsid w:val="002D661B"/>
    <w:rsid w:val="002D7CAE"/>
    <w:rsid w:val="002E04F1"/>
    <w:rsid w:val="002E2268"/>
    <w:rsid w:val="002E3CDD"/>
    <w:rsid w:val="002E59A2"/>
    <w:rsid w:val="002E60B0"/>
    <w:rsid w:val="002E6EC8"/>
    <w:rsid w:val="002F0E6F"/>
    <w:rsid w:val="002F10C3"/>
    <w:rsid w:val="002F5D17"/>
    <w:rsid w:val="002F5E46"/>
    <w:rsid w:val="002F7ADC"/>
    <w:rsid w:val="002F7BA7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28D9"/>
    <w:rsid w:val="00324531"/>
    <w:rsid w:val="0032592A"/>
    <w:rsid w:val="0032776A"/>
    <w:rsid w:val="00331204"/>
    <w:rsid w:val="00340388"/>
    <w:rsid w:val="0034113C"/>
    <w:rsid w:val="00341403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3D0"/>
    <w:rsid w:val="003729FC"/>
    <w:rsid w:val="00374E07"/>
    <w:rsid w:val="00376616"/>
    <w:rsid w:val="0037715C"/>
    <w:rsid w:val="00377739"/>
    <w:rsid w:val="00385333"/>
    <w:rsid w:val="00386455"/>
    <w:rsid w:val="00387A0E"/>
    <w:rsid w:val="00387AC9"/>
    <w:rsid w:val="003910D1"/>
    <w:rsid w:val="00394713"/>
    <w:rsid w:val="00394A0E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46C"/>
    <w:rsid w:val="003B5AF3"/>
    <w:rsid w:val="003B6AD5"/>
    <w:rsid w:val="003B73FF"/>
    <w:rsid w:val="003B7E3B"/>
    <w:rsid w:val="003C05E5"/>
    <w:rsid w:val="003C1DFC"/>
    <w:rsid w:val="003C1EE1"/>
    <w:rsid w:val="003C3F42"/>
    <w:rsid w:val="003C490A"/>
    <w:rsid w:val="003C61EC"/>
    <w:rsid w:val="003D0BA7"/>
    <w:rsid w:val="003D267D"/>
    <w:rsid w:val="003D2E1D"/>
    <w:rsid w:val="003D3E79"/>
    <w:rsid w:val="003D5727"/>
    <w:rsid w:val="003E0609"/>
    <w:rsid w:val="003E3C88"/>
    <w:rsid w:val="003E584E"/>
    <w:rsid w:val="003E5D58"/>
    <w:rsid w:val="003F1D54"/>
    <w:rsid w:val="003F463B"/>
    <w:rsid w:val="003F4974"/>
    <w:rsid w:val="003F5200"/>
    <w:rsid w:val="003F53B4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5E5E"/>
    <w:rsid w:val="00415FAE"/>
    <w:rsid w:val="00416168"/>
    <w:rsid w:val="00416458"/>
    <w:rsid w:val="0042477D"/>
    <w:rsid w:val="004262B6"/>
    <w:rsid w:val="00426E8B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62D8"/>
    <w:rsid w:val="00452CEC"/>
    <w:rsid w:val="00453D53"/>
    <w:rsid w:val="00453DD7"/>
    <w:rsid w:val="00455F17"/>
    <w:rsid w:val="0046157E"/>
    <w:rsid w:val="00461764"/>
    <w:rsid w:val="00462768"/>
    <w:rsid w:val="00462F6B"/>
    <w:rsid w:val="00463549"/>
    <w:rsid w:val="00467F00"/>
    <w:rsid w:val="00471594"/>
    <w:rsid w:val="00472BA5"/>
    <w:rsid w:val="00476711"/>
    <w:rsid w:val="00477E8E"/>
    <w:rsid w:val="00481632"/>
    <w:rsid w:val="004855D9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28FF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879"/>
    <w:rsid w:val="004C6C00"/>
    <w:rsid w:val="004D0181"/>
    <w:rsid w:val="004D09D2"/>
    <w:rsid w:val="004D197A"/>
    <w:rsid w:val="004D2881"/>
    <w:rsid w:val="004D28F5"/>
    <w:rsid w:val="004D5E19"/>
    <w:rsid w:val="004D6259"/>
    <w:rsid w:val="004D6AE1"/>
    <w:rsid w:val="004D773C"/>
    <w:rsid w:val="004E0450"/>
    <w:rsid w:val="004E36CE"/>
    <w:rsid w:val="004E3DF2"/>
    <w:rsid w:val="004E435C"/>
    <w:rsid w:val="004E5B08"/>
    <w:rsid w:val="004E6044"/>
    <w:rsid w:val="004E7D3F"/>
    <w:rsid w:val="004F02C1"/>
    <w:rsid w:val="004F276B"/>
    <w:rsid w:val="004F2A7C"/>
    <w:rsid w:val="004F2CCD"/>
    <w:rsid w:val="004F335E"/>
    <w:rsid w:val="004F5250"/>
    <w:rsid w:val="004F63B8"/>
    <w:rsid w:val="004F7686"/>
    <w:rsid w:val="0050100B"/>
    <w:rsid w:val="005019C9"/>
    <w:rsid w:val="00503AB0"/>
    <w:rsid w:val="00504183"/>
    <w:rsid w:val="00504504"/>
    <w:rsid w:val="00506310"/>
    <w:rsid w:val="0050741F"/>
    <w:rsid w:val="005100CA"/>
    <w:rsid w:val="00510486"/>
    <w:rsid w:val="00511072"/>
    <w:rsid w:val="00515153"/>
    <w:rsid w:val="00522574"/>
    <w:rsid w:val="005237B1"/>
    <w:rsid w:val="005249CD"/>
    <w:rsid w:val="00525B42"/>
    <w:rsid w:val="00527738"/>
    <w:rsid w:val="00527F1B"/>
    <w:rsid w:val="00531CAB"/>
    <w:rsid w:val="0053209A"/>
    <w:rsid w:val="00540962"/>
    <w:rsid w:val="00544FF6"/>
    <w:rsid w:val="0054566B"/>
    <w:rsid w:val="005463C1"/>
    <w:rsid w:val="0054685C"/>
    <w:rsid w:val="00546E88"/>
    <w:rsid w:val="00550C54"/>
    <w:rsid w:val="00551523"/>
    <w:rsid w:val="00562DD0"/>
    <w:rsid w:val="0056482F"/>
    <w:rsid w:val="0056485E"/>
    <w:rsid w:val="00565936"/>
    <w:rsid w:val="00565D7D"/>
    <w:rsid w:val="00566E37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58BD"/>
    <w:rsid w:val="005871FA"/>
    <w:rsid w:val="005921D6"/>
    <w:rsid w:val="00593BA2"/>
    <w:rsid w:val="005957B3"/>
    <w:rsid w:val="005A4873"/>
    <w:rsid w:val="005A70E5"/>
    <w:rsid w:val="005A7B6E"/>
    <w:rsid w:val="005B01DA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5B8"/>
    <w:rsid w:val="005C7A62"/>
    <w:rsid w:val="005D2761"/>
    <w:rsid w:val="005D422E"/>
    <w:rsid w:val="005D6241"/>
    <w:rsid w:val="005E0299"/>
    <w:rsid w:val="005E0406"/>
    <w:rsid w:val="005E0830"/>
    <w:rsid w:val="005E0E73"/>
    <w:rsid w:val="005E39E8"/>
    <w:rsid w:val="005E4E3E"/>
    <w:rsid w:val="005E7B52"/>
    <w:rsid w:val="005F3D3C"/>
    <w:rsid w:val="005F3E10"/>
    <w:rsid w:val="005F4AD1"/>
    <w:rsid w:val="005F5722"/>
    <w:rsid w:val="005F606D"/>
    <w:rsid w:val="005F7B1E"/>
    <w:rsid w:val="005F7EDD"/>
    <w:rsid w:val="00601E07"/>
    <w:rsid w:val="00603691"/>
    <w:rsid w:val="00605056"/>
    <w:rsid w:val="006071D9"/>
    <w:rsid w:val="00607760"/>
    <w:rsid w:val="0060790C"/>
    <w:rsid w:val="00610BF7"/>
    <w:rsid w:val="006134A7"/>
    <w:rsid w:val="006229F6"/>
    <w:rsid w:val="00624674"/>
    <w:rsid w:val="006252BE"/>
    <w:rsid w:val="00631A1D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541A3"/>
    <w:rsid w:val="00654FC8"/>
    <w:rsid w:val="006559B4"/>
    <w:rsid w:val="00655C23"/>
    <w:rsid w:val="0065706F"/>
    <w:rsid w:val="0065727A"/>
    <w:rsid w:val="0066078C"/>
    <w:rsid w:val="00661B0B"/>
    <w:rsid w:val="006620F4"/>
    <w:rsid w:val="0066260E"/>
    <w:rsid w:val="006628ED"/>
    <w:rsid w:val="0066314D"/>
    <w:rsid w:val="00664431"/>
    <w:rsid w:val="006654EB"/>
    <w:rsid w:val="0066798E"/>
    <w:rsid w:val="00670383"/>
    <w:rsid w:val="00671844"/>
    <w:rsid w:val="0067191F"/>
    <w:rsid w:val="00671A84"/>
    <w:rsid w:val="006724BF"/>
    <w:rsid w:val="00673791"/>
    <w:rsid w:val="00674F7B"/>
    <w:rsid w:val="00675238"/>
    <w:rsid w:val="006765ED"/>
    <w:rsid w:val="00677537"/>
    <w:rsid w:val="006827DF"/>
    <w:rsid w:val="00684BFE"/>
    <w:rsid w:val="00686481"/>
    <w:rsid w:val="0068714B"/>
    <w:rsid w:val="00687C27"/>
    <w:rsid w:val="00690CC1"/>
    <w:rsid w:val="00694989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2CE5"/>
    <w:rsid w:val="006C7563"/>
    <w:rsid w:val="006D1057"/>
    <w:rsid w:val="006D3A4B"/>
    <w:rsid w:val="006D75BE"/>
    <w:rsid w:val="006E0E3C"/>
    <w:rsid w:val="006E1325"/>
    <w:rsid w:val="006E2DBF"/>
    <w:rsid w:val="006E2E07"/>
    <w:rsid w:val="006E32AB"/>
    <w:rsid w:val="006E685A"/>
    <w:rsid w:val="006F2DAC"/>
    <w:rsid w:val="006F3F4C"/>
    <w:rsid w:val="006F55C4"/>
    <w:rsid w:val="006F55D8"/>
    <w:rsid w:val="006F7650"/>
    <w:rsid w:val="0070114A"/>
    <w:rsid w:val="007025EE"/>
    <w:rsid w:val="0070686B"/>
    <w:rsid w:val="00711305"/>
    <w:rsid w:val="0071130E"/>
    <w:rsid w:val="00712869"/>
    <w:rsid w:val="00713554"/>
    <w:rsid w:val="00722C8E"/>
    <w:rsid w:val="007233B2"/>
    <w:rsid w:val="007277EB"/>
    <w:rsid w:val="00730506"/>
    <w:rsid w:val="007365D8"/>
    <w:rsid w:val="00737C8B"/>
    <w:rsid w:val="007409F6"/>
    <w:rsid w:val="00741F51"/>
    <w:rsid w:val="00742D13"/>
    <w:rsid w:val="00743558"/>
    <w:rsid w:val="00750386"/>
    <w:rsid w:val="007515F0"/>
    <w:rsid w:val="0075166C"/>
    <w:rsid w:val="00751893"/>
    <w:rsid w:val="00755525"/>
    <w:rsid w:val="00755E0B"/>
    <w:rsid w:val="0075716D"/>
    <w:rsid w:val="00757C94"/>
    <w:rsid w:val="00760FC3"/>
    <w:rsid w:val="00763249"/>
    <w:rsid w:val="00763678"/>
    <w:rsid w:val="00767868"/>
    <w:rsid w:val="0077031C"/>
    <w:rsid w:val="00771DCC"/>
    <w:rsid w:val="00773724"/>
    <w:rsid w:val="00774513"/>
    <w:rsid w:val="00774FFF"/>
    <w:rsid w:val="00780DFE"/>
    <w:rsid w:val="007840C3"/>
    <w:rsid w:val="0078532D"/>
    <w:rsid w:val="007853D5"/>
    <w:rsid w:val="00787617"/>
    <w:rsid w:val="007914F4"/>
    <w:rsid w:val="007934DF"/>
    <w:rsid w:val="00796726"/>
    <w:rsid w:val="00797AA5"/>
    <w:rsid w:val="00797F1E"/>
    <w:rsid w:val="007A0421"/>
    <w:rsid w:val="007A1E0A"/>
    <w:rsid w:val="007A3F9A"/>
    <w:rsid w:val="007A7077"/>
    <w:rsid w:val="007B0D0C"/>
    <w:rsid w:val="007B255A"/>
    <w:rsid w:val="007B2FD9"/>
    <w:rsid w:val="007C2D48"/>
    <w:rsid w:val="007C3201"/>
    <w:rsid w:val="007C40E6"/>
    <w:rsid w:val="007C5F57"/>
    <w:rsid w:val="007C6752"/>
    <w:rsid w:val="007D234B"/>
    <w:rsid w:val="007D42B3"/>
    <w:rsid w:val="007D550D"/>
    <w:rsid w:val="007D744E"/>
    <w:rsid w:val="007D77FE"/>
    <w:rsid w:val="007E214C"/>
    <w:rsid w:val="007E3E91"/>
    <w:rsid w:val="007F4BE0"/>
    <w:rsid w:val="00801619"/>
    <w:rsid w:val="00803D36"/>
    <w:rsid w:val="00803EF8"/>
    <w:rsid w:val="008046EE"/>
    <w:rsid w:val="00807606"/>
    <w:rsid w:val="008078D4"/>
    <w:rsid w:val="0081004A"/>
    <w:rsid w:val="0081189C"/>
    <w:rsid w:val="0081210B"/>
    <w:rsid w:val="0082052A"/>
    <w:rsid w:val="008222F3"/>
    <w:rsid w:val="008240F5"/>
    <w:rsid w:val="00824DD4"/>
    <w:rsid w:val="00826E26"/>
    <w:rsid w:val="00830631"/>
    <w:rsid w:val="008307C8"/>
    <w:rsid w:val="008351C6"/>
    <w:rsid w:val="00840FCF"/>
    <w:rsid w:val="008443D5"/>
    <w:rsid w:val="008510E3"/>
    <w:rsid w:val="0085482E"/>
    <w:rsid w:val="00863029"/>
    <w:rsid w:val="00865F07"/>
    <w:rsid w:val="00870E68"/>
    <w:rsid w:val="008711D6"/>
    <w:rsid w:val="008713CC"/>
    <w:rsid w:val="00876934"/>
    <w:rsid w:val="00876B06"/>
    <w:rsid w:val="00876DB8"/>
    <w:rsid w:val="008770DD"/>
    <w:rsid w:val="0088011F"/>
    <w:rsid w:val="00883711"/>
    <w:rsid w:val="008838A1"/>
    <w:rsid w:val="008843E9"/>
    <w:rsid w:val="00886683"/>
    <w:rsid w:val="0089277D"/>
    <w:rsid w:val="008938B4"/>
    <w:rsid w:val="008951E5"/>
    <w:rsid w:val="008A0A2B"/>
    <w:rsid w:val="008A37C2"/>
    <w:rsid w:val="008A44DD"/>
    <w:rsid w:val="008A5F5A"/>
    <w:rsid w:val="008A6D89"/>
    <w:rsid w:val="008B247B"/>
    <w:rsid w:val="008B31D9"/>
    <w:rsid w:val="008C27F9"/>
    <w:rsid w:val="008C5DF9"/>
    <w:rsid w:val="008D0DE7"/>
    <w:rsid w:val="008D0F9B"/>
    <w:rsid w:val="008D10DA"/>
    <w:rsid w:val="008D2607"/>
    <w:rsid w:val="008D3255"/>
    <w:rsid w:val="008D56CF"/>
    <w:rsid w:val="008D5D16"/>
    <w:rsid w:val="008D6E69"/>
    <w:rsid w:val="008D6F98"/>
    <w:rsid w:val="008D78CA"/>
    <w:rsid w:val="008E1041"/>
    <w:rsid w:val="008E3091"/>
    <w:rsid w:val="008E3595"/>
    <w:rsid w:val="008F1565"/>
    <w:rsid w:val="008F3F70"/>
    <w:rsid w:val="008F5409"/>
    <w:rsid w:val="008F6090"/>
    <w:rsid w:val="008F7523"/>
    <w:rsid w:val="008F777D"/>
    <w:rsid w:val="00904CA3"/>
    <w:rsid w:val="009061C1"/>
    <w:rsid w:val="00906378"/>
    <w:rsid w:val="009122CB"/>
    <w:rsid w:val="009124B5"/>
    <w:rsid w:val="00913585"/>
    <w:rsid w:val="00914609"/>
    <w:rsid w:val="00916123"/>
    <w:rsid w:val="0091703A"/>
    <w:rsid w:val="009244BA"/>
    <w:rsid w:val="0092612B"/>
    <w:rsid w:val="00930623"/>
    <w:rsid w:val="009318C1"/>
    <w:rsid w:val="00933BDD"/>
    <w:rsid w:val="009358BC"/>
    <w:rsid w:val="0093607F"/>
    <w:rsid w:val="00937A9B"/>
    <w:rsid w:val="009428AD"/>
    <w:rsid w:val="00943006"/>
    <w:rsid w:val="009457F6"/>
    <w:rsid w:val="009459B7"/>
    <w:rsid w:val="00950981"/>
    <w:rsid w:val="00951362"/>
    <w:rsid w:val="00951B54"/>
    <w:rsid w:val="0095298B"/>
    <w:rsid w:val="009547F9"/>
    <w:rsid w:val="00954822"/>
    <w:rsid w:val="009566C2"/>
    <w:rsid w:val="00956FEB"/>
    <w:rsid w:val="00962B62"/>
    <w:rsid w:val="00966010"/>
    <w:rsid w:val="009718A1"/>
    <w:rsid w:val="0097269E"/>
    <w:rsid w:val="00972CF0"/>
    <w:rsid w:val="0097472F"/>
    <w:rsid w:val="00975870"/>
    <w:rsid w:val="009758A5"/>
    <w:rsid w:val="00980583"/>
    <w:rsid w:val="00983A4D"/>
    <w:rsid w:val="00984E49"/>
    <w:rsid w:val="00984FF4"/>
    <w:rsid w:val="00985403"/>
    <w:rsid w:val="009863BF"/>
    <w:rsid w:val="0098648A"/>
    <w:rsid w:val="009922C5"/>
    <w:rsid w:val="0099511E"/>
    <w:rsid w:val="00995145"/>
    <w:rsid w:val="00996309"/>
    <w:rsid w:val="009A1877"/>
    <w:rsid w:val="009A1B84"/>
    <w:rsid w:val="009A2610"/>
    <w:rsid w:val="009A7F57"/>
    <w:rsid w:val="009B2778"/>
    <w:rsid w:val="009B2A94"/>
    <w:rsid w:val="009B42C8"/>
    <w:rsid w:val="009B7703"/>
    <w:rsid w:val="009C169E"/>
    <w:rsid w:val="009C19B9"/>
    <w:rsid w:val="009C36AD"/>
    <w:rsid w:val="009D1AA6"/>
    <w:rsid w:val="009D6139"/>
    <w:rsid w:val="009D69C0"/>
    <w:rsid w:val="009D7539"/>
    <w:rsid w:val="009E440C"/>
    <w:rsid w:val="009E58FC"/>
    <w:rsid w:val="009E7581"/>
    <w:rsid w:val="009F01B2"/>
    <w:rsid w:val="00A032C9"/>
    <w:rsid w:val="00A073A2"/>
    <w:rsid w:val="00A11240"/>
    <w:rsid w:val="00A13FA8"/>
    <w:rsid w:val="00A15625"/>
    <w:rsid w:val="00A22413"/>
    <w:rsid w:val="00A2381D"/>
    <w:rsid w:val="00A27AEA"/>
    <w:rsid w:val="00A30FA4"/>
    <w:rsid w:val="00A321D3"/>
    <w:rsid w:val="00A34160"/>
    <w:rsid w:val="00A342D6"/>
    <w:rsid w:val="00A37434"/>
    <w:rsid w:val="00A415EE"/>
    <w:rsid w:val="00A41997"/>
    <w:rsid w:val="00A41D58"/>
    <w:rsid w:val="00A4545E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B88"/>
    <w:rsid w:val="00A62C81"/>
    <w:rsid w:val="00A66023"/>
    <w:rsid w:val="00A712B1"/>
    <w:rsid w:val="00A71B74"/>
    <w:rsid w:val="00A73FE2"/>
    <w:rsid w:val="00A765CB"/>
    <w:rsid w:val="00A854C1"/>
    <w:rsid w:val="00A85A97"/>
    <w:rsid w:val="00A85E39"/>
    <w:rsid w:val="00A86FCE"/>
    <w:rsid w:val="00A8785B"/>
    <w:rsid w:val="00A87BCC"/>
    <w:rsid w:val="00A90801"/>
    <w:rsid w:val="00A917BC"/>
    <w:rsid w:val="00A91B12"/>
    <w:rsid w:val="00A9637E"/>
    <w:rsid w:val="00A97B96"/>
    <w:rsid w:val="00AA0B66"/>
    <w:rsid w:val="00AA43BC"/>
    <w:rsid w:val="00AA64A8"/>
    <w:rsid w:val="00AA69C1"/>
    <w:rsid w:val="00AA738A"/>
    <w:rsid w:val="00AA75BF"/>
    <w:rsid w:val="00AB0ACE"/>
    <w:rsid w:val="00AB28D8"/>
    <w:rsid w:val="00AB46AD"/>
    <w:rsid w:val="00AB7844"/>
    <w:rsid w:val="00AC416D"/>
    <w:rsid w:val="00AC4A33"/>
    <w:rsid w:val="00AC63E2"/>
    <w:rsid w:val="00AC694C"/>
    <w:rsid w:val="00AC69A2"/>
    <w:rsid w:val="00AC729B"/>
    <w:rsid w:val="00AD0E0C"/>
    <w:rsid w:val="00AD2DF3"/>
    <w:rsid w:val="00AD47F5"/>
    <w:rsid w:val="00AD6EF1"/>
    <w:rsid w:val="00AE0D05"/>
    <w:rsid w:val="00AE5BD1"/>
    <w:rsid w:val="00AE612F"/>
    <w:rsid w:val="00AE7EE9"/>
    <w:rsid w:val="00AF0872"/>
    <w:rsid w:val="00AF1FF6"/>
    <w:rsid w:val="00AF38D3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38A9"/>
    <w:rsid w:val="00B177FB"/>
    <w:rsid w:val="00B21022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76A6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5A1"/>
    <w:rsid w:val="00B54C65"/>
    <w:rsid w:val="00B56564"/>
    <w:rsid w:val="00B61720"/>
    <w:rsid w:val="00B66DD5"/>
    <w:rsid w:val="00B6757A"/>
    <w:rsid w:val="00B70FB4"/>
    <w:rsid w:val="00B71C31"/>
    <w:rsid w:val="00B7478C"/>
    <w:rsid w:val="00B7516E"/>
    <w:rsid w:val="00B816E3"/>
    <w:rsid w:val="00B8526B"/>
    <w:rsid w:val="00B852DF"/>
    <w:rsid w:val="00B869EA"/>
    <w:rsid w:val="00B86DFF"/>
    <w:rsid w:val="00B86F00"/>
    <w:rsid w:val="00B9476B"/>
    <w:rsid w:val="00B963AB"/>
    <w:rsid w:val="00BA04D8"/>
    <w:rsid w:val="00BA20C0"/>
    <w:rsid w:val="00BA2F56"/>
    <w:rsid w:val="00BA50AA"/>
    <w:rsid w:val="00BB0D00"/>
    <w:rsid w:val="00BB23E2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4AC8"/>
    <w:rsid w:val="00BD5214"/>
    <w:rsid w:val="00BD7135"/>
    <w:rsid w:val="00BD72DA"/>
    <w:rsid w:val="00BE0D44"/>
    <w:rsid w:val="00BE2D3F"/>
    <w:rsid w:val="00BE2D6B"/>
    <w:rsid w:val="00BE353D"/>
    <w:rsid w:val="00BE378B"/>
    <w:rsid w:val="00BE6891"/>
    <w:rsid w:val="00BE6CCF"/>
    <w:rsid w:val="00BE6DD4"/>
    <w:rsid w:val="00BF3A3A"/>
    <w:rsid w:val="00C01616"/>
    <w:rsid w:val="00C019BC"/>
    <w:rsid w:val="00C03F1F"/>
    <w:rsid w:val="00C03FC9"/>
    <w:rsid w:val="00C056A0"/>
    <w:rsid w:val="00C07069"/>
    <w:rsid w:val="00C073D4"/>
    <w:rsid w:val="00C10B8B"/>
    <w:rsid w:val="00C117ED"/>
    <w:rsid w:val="00C11D78"/>
    <w:rsid w:val="00C147F7"/>
    <w:rsid w:val="00C254CF"/>
    <w:rsid w:val="00C2571E"/>
    <w:rsid w:val="00C32E27"/>
    <w:rsid w:val="00C358F5"/>
    <w:rsid w:val="00C36451"/>
    <w:rsid w:val="00C41773"/>
    <w:rsid w:val="00C51A95"/>
    <w:rsid w:val="00C51C70"/>
    <w:rsid w:val="00C546C8"/>
    <w:rsid w:val="00C5497D"/>
    <w:rsid w:val="00C55AD8"/>
    <w:rsid w:val="00C60FFE"/>
    <w:rsid w:val="00C612B8"/>
    <w:rsid w:val="00C62C9D"/>
    <w:rsid w:val="00C70B76"/>
    <w:rsid w:val="00C70DA4"/>
    <w:rsid w:val="00C726E7"/>
    <w:rsid w:val="00C74B73"/>
    <w:rsid w:val="00C74E5A"/>
    <w:rsid w:val="00C75D02"/>
    <w:rsid w:val="00C774AE"/>
    <w:rsid w:val="00C77E3C"/>
    <w:rsid w:val="00C80D6F"/>
    <w:rsid w:val="00C81B22"/>
    <w:rsid w:val="00C91407"/>
    <w:rsid w:val="00C939D9"/>
    <w:rsid w:val="00C94375"/>
    <w:rsid w:val="00C957FC"/>
    <w:rsid w:val="00C9580C"/>
    <w:rsid w:val="00C974B8"/>
    <w:rsid w:val="00CA0391"/>
    <w:rsid w:val="00CA0F2D"/>
    <w:rsid w:val="00CA4FF5"/>
    <w:rsid w:val="00CA69C5"/>
    <w:rsid w:val="00CA7313"/>
    <w:rsid w:val="00CB36A2"/>
    <w:rsid w:val="00CB3A3D"/>
    <w:rsid w:val="00CB5EF9"/>
    <w:rsid w:val="00CC0AA2"/>
    <w:rsid w:val="00CC6B63"/>
    <w:rsid w:val="00CD04B0"/>
    <w:rsid w:val="00CD3B3D"/>
    <w:rsid w:val="00CD51CB"/>
    <w:rsid w:val="00CD5F6F"/>
    <w:rsid w:val="00CE0BBB"/>
    <w:rsid w:val="00CE1813"/>
    <w:rsid w:val="00CE555D"/>
    <w:rsid w:val="00CE6FDB"/>
    <w:rsid w:val="00CF531F"/>
    <w:rsid w:val="00CF7340"/>
    <w:rsid w:val="00D0165B"/>
    <w:rsid w:val="00D029E1"/>
    <w:rsid w:val="00D02EA1"/>
    <w:rsid w:val="00D04990"/>
    <w:rsid w:val="00D07CE4"/>
    <w:rsid w:val="00D10033"/>
    <w:rsid w:val="00D167F9"/>
    <w:rsid w:val="00D1797F"/>
    <w:rsid w:val="00D21496"/>
    <w:rsid w:val="00D21EB7"/>
    <w:rsid w:val="00D22F4F"/>
    <w:rsid w:val="00D25D6A"/>
    <w:rsid w:val="00D34975"/>
    <w:rsid w:val="00D35F2A"/>
    <w:rsid w:val="00D37B9D"/>
    <w:rsid w:val="00D41402"/>
    <w:rsid w:val="00D42399"/>
    <w:rsid w:val="00D442DC"/>
    <w:rsid w:val="00D445AE"/>
    <w:rsid w:val="00D44ABF"/>
    <w:rsid w:val="00D4559E"/>
    <w:rsid w:val="00D46E13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837AB"/>
    <w:rsid w:val="00D86026"/>
    <w:rsid w:val="00D864FD"/>
    <w:rsid w:val="00D90F05"/>
    <w:rsid w:val="00D971CB"/>
    <w:rsid w:val="00DA046E"/>
    <w:rsid w:val="00DB112C"/>
    <w:rsid w:val="00DB1B00"/>
    <w:rsid w:val="00DB6AAF"/>
    <w:rsid w:val="00DC3322"/>
    <w:rsid w:val="00DC3DE4"/>
    <w:rsid w:val="00DD0942"/>
    <w:rsid w:val="00DD1B9C"/>
    <w:rsid w:val="00DD372E"/>
    <w:rsid w:val="00DD43C5"/>
    <w:rsid w:val="00DD6CD4"/>
    <w:rsid w:val="00DE026D"/>
    <w:rsid w:val="00DE136E"/>
    <w:rsid w:val="00DE1C08"/>
    <w:rsid w:val="00DE1CA9"/>
    <w:rsid w:val="00DE3EB8"/>
    <w:rsid w:val="00DE5804"/>
    <w:rsid w:val="00DE7575"/>
    <w:rsid w:val="00DF2627"/>
    <w:rsid w:val="00DF276B"/>
    <w:rsid w:val="00DF3323"/>
    <w:rsid w:val="00E00C26"/>
    <w:rsid w:val="00E01F93"/>
    <w:rsid w:val="00E02942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21281"/>
    <w:rsid w:val="00E22471"/>
    <w:rsid w:val="00E23CB5"/>
    <w:rsid w:val="00E2415B"/>
    <w:rsid w:val="00E262DC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705D"/>
    <w:rsid w:val="00E47BF0"/>
    <w:rsid w:val="00E515FE"/>
    <w:rsid w:val="00E51C8A"/>
    <w:rsid w:val="00E5216F"/>
    <w:rsid w:val="00E530CB"/>
    <w:rsid w:val="00E5548D"/>
    <w:rsid w:val="00E555B1"/>
    <w:rsid w:val="00E56425"/>
    <w:rsid w:val="00E57E1F"/>
    <w:rsid w:val="00E60945"/>
    <w:rsid w:val="00E60D31"/>
    <w:rsid w:val="00E62080"/>
    <w:rsid w:val="00E634F0"/>
    <w:rsid w:val="00E641B5"/>
    <w:rsid w:val="00E66A31"/>
    <w:rsid w:val="00E67B58"/>
    <w:rsid w:val="00E74498"/>
    <w:rsid w:val="00E77F15"/>
    <w:rsid w:val="00E80B50"/>
    <w:rsid w:val="00E83740"/>
    <w:rsid w:val="00E856FC"/>
    <w:rsid w:val="00E8615A"/>
    <w:rsid w:val="00E97CB1"/>
    <w:rsid w:val="00EA24D9"/>
    <w:rsid w:val="00EA297F"/>
    <w:rsid w:val="00EA309D"/>
    <w:rsid w:val="00EA7748"/>
    <w:rsid w:val="00EB284F"/>
    <w:rsid w:val="00EB3810"/>
    <w:rsid w:val="00EB546C"/>
    <w:rsid w:val="00EB6B4B"/>
    <w:rsid w:val="00EC20A3"/>
    <w:rsid w:val="00EC2856"/>
    <w:rsid w:val="00EC2A30"/>
    <w:rsid w:val="00EC3FD4"/>
    <w:rsid w:val="00EC5276"/>
    <w:rsid w:val="00EC531E"/>
    <w:rsid w:val="00ED0317"/>
    <w:rsid w:val="00ED21E9"/>
    <w:rsid w:val="00ED3E68"/>
    <w:rsid w:val="00ED3F06"/>
    <w:rsid w:val="00ED457C"/>
    <w:rsid w:val="00ED5747"/>
    <w:rsid w:val="00ED6ED9"/>
    <w:rsid w:val="00EE0F2C"/>
    <w:rsid w:val="00EE1299"/>
    <w:rsid w:val="00EE3649"/>
    <w:rsid w:val="00EE3B11"/>
    <w:rsid w:val="00EE4940"/>
    <w:rsid w:val="00EE5505"/>
    <w:rsid w:val="00EE6542"/>
    <w:rsid w:val="00EF174A"/>
    <w:rsid w:val="00EF3A32"/>
    <w:rsid w:val="00EF6E84"/>
    <w:rsid w:val="00EF7574"/>
    <w:rsid w:val="00EF797C"/>
    <w:rsid w:val="00F01379"/>
    <w:rsid w:val="00F0218E"/>
    <w:rsid w:val="00F02495"/>
    <w:rsid w:val="00F06F6F"/>
    <w:rsid w:val="00F074D2"/>
    <w:rsid w:val="00F07F5C"/>
    <w:rsid w:val="00F11D68"/>
    <w:rsid w:val="00F166F6"/>
    <w:rsid w:val="00F20255"/>
    <w:rsid w:val="00F20D8A"/>
    <w:rsid w:val="00F2217D"/>
    <w:rsid w:val="00F2353D"/>
    <w:rsid w:val="00F2386E"/>
    <w:rsid w:val="00F266CC"/>
    <w:rsid w:val="00F278D6"/>
    <w:rsid w:val="00F3100F"/>
    <w:rsid w:val="00F315B4"/>
    <w:rsid w:val="00F33143"/>
    <w:rsid w:val="00F34C5F"/>
    <w:rsid w:val="00F34DC0"/>
    <w:rsid w:val="00F40624"/>
    <w:rsid w:val="00F42C1C"/>
    <w:rsid w:val="00F43345"/>
    <w:rsid w:val="00F435AC"/>
    <w:rsid w:val="00F4370B"/>
    <w:rsid w:val="00F4708A"/>
    <w:rsid w:val="00F52915"/>
    <w:rsid w:val="00F54A19"/>
    <w:rsid w:val="00F57C6F"/>
    <w:rsid w:val="00F624AB"/>
    <w:rsid w:val="00F628B2"/>
    <w:rsid w:val="00F636C5"/>
    <w:rsid w:val="00F63983"/>
    <w:rsid w:val="00F64963"/>
    <w:rsid w:val="00F67294"/>
    <w:rsid w:val="00F732D9"/>
    <w:rsid w:val="00F75143"/>
    <w:rsid w:val="00F75AD0"/>
    <w:rsid w:val="00F76A0A"/>
    <w:rsid w:val="00F8028D"/>
    <w:rsid w:val="00F84BBA"/>
    <w:rsid w:val="00F87910"/>
    <w:rsid w:val="00F87FC1"/>
    <w:rsid w:val="00F92CD7"/>
    <w:rsid w:val="00F9481F"/>
    <w:rsid w:val="00F948D9"/>
    <w:rsid w:val="00F9577C"/>
    <w:rsid w:val="00F962DB"/>
    <w:rsid w:val="00F96997"/>
    <w:rsid w:val="00FA0FBE"/>
    <w:rsid w:val="00FA4B2C"/>
    <w:rsid w:val="00FA4B98"/>
    <w:rsid w:val="00FA5B02"/>
    <w:rsid w:val="00FB1BBA"/>
    <w:rsid w:val="00FB2A0E"/>
    <w:rsid w:val="00FB38D2"/>
    <w:rsid w:val="00FB4256"/>
    <w:rsid w:val="00FB4E79"/>
    <w:rsid w:val="00FB5BC3"/>
    <w:rsid w:val="00FB7B25"/>
    <w:rsid w:val="00FC0AD6"/>
    <w:rsid w:val="00FC2B20"/>
    <w:rsid w:val="00FC2F30"/>
    <w:rsid w:val="00FC3D7C"/>
    <w:rsid w:val="00FC5650"/>
    <w:rsid w:val="00FC5827"/>
    <w:rsid w:val="00FC74EB"/>
    <w:rsid w:val="00FD57A8"/>
    <w:rsid w:val="00FD7D81"/>
    <w:rsid w:val="00FE1B8A"/>
    <w:rsid w:val="00FE2A65"/>
    <w:rsid w:val="00FE3E78"/>
    <w:rsid w:val="00FE4E13"/>
    <w:rsid w:val="00FE692B"/>
    <w:rsid w:val="00FE7D69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806A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09D9-1217-43AA-ABDD-D7C66174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5027</TotalTime>
  <Pages>9</Pages>
  <Words>3059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1018</cp:revision>
  <cp:lastPrinted>2024-11-04T06:09:00Z</cp:lastPrinted>
  <dcterms:created xsi:type="dcterms:W3CDTF">2024-05-09T05:30:00Z</dcterms:created>
  <dcterms:modified xsi:type="dcterms:W3CDTF">2024-12-06T06:24:00Z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