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40" w:rsidRDefault="00BD0F30" w:rsidP="002C1B73">
      <w:pPr>
        <w:pStyle w:val="Zkladntext"/>
        <w:jc w:val="both"/>
        <w:rPr>
          <w:b/>
          <w:color w:val="000000"/>
        </w:rPr>
      </w:pPr>
      <w:r>
        <w:rPr>
          <w:b/>
        </w:rPr>
        <w:t>Z</w:t>
      </w:r>
      <w:r w:rsidR="00745C98" w:rsidRPr="00026748">
        <w:rPr>
          <w:b/>
        </w:rPr>
        <w:t>M_</w:t>
      </w:r>
      <w:r>
        <w:rPr>
          <w:b/>
        </w:rPr>
        <w:t>XIV</w:t>
      </w:r>
      <w:r w:rsidR="009422C6">
        <w:rPr>
          <w:b/>
        </w:rPr>
        <w:t>_</w:t>
      </w:r>
      <w:r w:rsidR="00706C16">
        <w:rPr>
          <w:b/>
        </w:rPr>
        <w:t>10</w:t>
      </w:r>
      <w:bookmarkStart w:id="0" w:name="_GoBack"/>
      <w:bookmarkEnd w:id="0"/>
      <w:r w:rsidR="0010621E">
        <w:rPr>
          <w:b/>
        </w:rPr>
        <w:t>_</w:t>
      </w:r>
      <w:r w:rsidR="00440E44">
        <w:rPr>
          <w:b/>
        </w:rPr>
        <w:t>O</w:t>
      </w:r>
      <w:r w:rsidR="00077BB1">
        <w:rPr>
          <w:b/>
        </w:rPr>
        <w:t>becně závazn</w:t>
      </w:r>
      <w:r w:rsidR="00440E44">
        <w:rPr>
          <w:b/>
        </w:rPr>
        <w:t xml:space="preserve">á </w:t>
      </w:r>
      <w:r w:rsidR="004146C2">
        <w:rPr>
          <w:b/>
        </w:rPr>
        <w:t>vyhláš</w:t>
      </w:r>
      <w:r w:rsidR="00440E44">
        <w:rPr>
          <w:b/>
        </w:rPr>
        <w:t>ka o stanovení koeficient</w:t>
      </w:r>
      <w:r w:rsidR="00264BAD">
        <w:rPr>
          <w:b/>
        </w:rPr>
        <w:t>ů</w:t>
      </w:r>
      <w:r w:rsidR="00440E44">
        <w:rPr>
          <w:b/>
        </w:rPr>
        <w:t xml:space="preserve"> daně z nemovitých věcí</w:t>
      </w:r>
      <w:r w:rsidR="000832AB">
        <w:rPr>
          <w:b/>
          <w:color w:val="000000"/>
        </w:rPr>
        <w:t>_</w:t>
      </w:r>
      <w:r>
        <w:rPr>
          <w:b/>
          <w:color w:val="000000"/>
        </w:rPr>
        <w:t>2. 9</w:t>
      </w:r>
      <w:r w:rsidR="00077BB1">
        <w:rPr>
          <w:b/>
          <w:color w:val="000000"/>
        </w:rPr>
        <w:t>. 2024</w:t>
      </w:r>
    </w:p>
    <w:p w:rsidR="000508C1" w:rsidRDefault="00706C16" w:rsidP="00C2536B">
      <w:pPr>
        <w:pStyle w:val="Zkladntext"/>
        <w:rPr>
          <w:b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9pt;margin-top:1.3pt;width:43.1pt;height:51.1pt;z-index:-251658752">
            <v:imagedata r:id="rId5" o:title="znak_A1"/>
          </v:shape>
        </w:pict>
      </w:r>
      <w:r w:rsidR="00237218">
        <w:rPr>
          <w:b/>
          <w:color w:val="000000"/>
        </w:rPr>
        <w:t xml:space="preserve"> </w:t>
      </w:r>
    </w:p>
    <w:p w:rsidR="004146C2" w:rsidRDefault="004146C2" w:rsidP="004146C2">
      <w:pPr>
        <w:ind w:left="1416" w:firstLine="708"/>
        <w:rPr>
          <w:b/>
          <w:sz w:val="28"/>
          <w:szCs w:val="28"/>
          <w:u w:val="single"/>
        </w:rPr>
      </w:pPr>
    </w:p>
    <w:p w:rsidR="004146C2" w:rsidRDefault="004146C2" w:rsidP="004146C2">
      <w:pPr>
        <w:ind w:left="1416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BD0F30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  </w:t>
      </w:r>
    </w:p>
    <w:p w:rsidR="004146C2" w:rsidRPr="004C37AA" w:rsidRDefault="004146C2" w:rsidP="004146C2">
      <w:pPr>
        <w:spacing w:after="120"/>
        <w:ind w:left="2126" w:hanging="2126"/>
        <w:jc w:val="both"/>
      </w:pPr>
      <w:r w:rsidRPr="000C756F">
        <w:tab/>
      </w:r>
      <w:r>
        <w:t xml:space="preserve"> </w:t>
      </w:r>
    </w:p>
    <w:p w:rsidR="004146C2" w:rsidRDefault="004146C2" w:rsidP="004146C2">
      <w:pPr>
        <w:pStyle w:val="Odstavecseseznamem"/>
        <w:ind w:left="2124" w:hanging="2124"/>
        <w:rPr>
          <w:rFonts w:ascii="Times New Roman" w:hAnsi="Times New Roman"/>
          <w:b/>
          <w:sz w:val="24"/>
          <w:szCs w:val="24"/>
          <w:u w:val="single"/>
        </w:rPr>
      </w:pPr>
    </w:p>
    <w:p w:rsidR="004146C2" w:rsidRDefault="004146C2" w:rsidP="00264BAD">
      <w:pPr>
        <w:pStyle w:val="Odstavecseseznamem"/>
        <w:ind w:left="2124" w:hanging="2124"/>
        <w:jc w:val="both"/>
        <w:rPr>
          <w:b/>
          <w:color w:val="000000"/>
        </w:rPr>
      </w:pPr>
      <w:r w:rsidRPr="004C37AA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4C37AA">
        <w:rPr>
          <w:rFonts w:ascii="Times New Roman" w:hAnsi="Times New Roman"/>
          <w:sz w:val="24"/>
          <w:szCs w:val="24"/>
        </w:rPr>
        <w:t xml:space="preserve"> </w:t>
      </w:r>
      <w:r w:rsidRPr="004C37AA">
        <w:rPr>
          <w:rFonts w:ascii="Times New Roman" w:hAnsi="Times New Roman"/>
          <w:sz w:val="24"/>
          <w:szCs w:val="24"/>
        </w:rPr>
        <w:tab/>
      </w:r>
      <w:r w:rsidR="00264BAD">
        <w:rPr>
          <w:rFonts w:ascii="Times New Roman" w:hAnsi="Times New Roman"/>
          <w:sz w:val="24"/>
          <w:szCs w:val="24"/>
        </w:rPr>
        <w:t>O</w:t>
      </w:r>
      <w:r w:rsidRPr="004146C2">
        <w:rPr>
          <w:rFonts w:ascii="Times New Roman" w:hAnsi="Times New Roman"/>
          <w:sz w:val="24"/>
          <w:szCs w:val="24"/>
        </w:rPr>
        <w:t>becně závazn</w:t>
      </w:r>
      <w:r w:rsidR="00264BAD">
        <w:rPr>
          <w:rFonts w:ascii="Times New Roman" w:hAnsi="Times New Roman"/>
          <w:sz w:val="24"/>
          <w:szCs w:val="24"/>
        </w:rPr>
        <w:t xml:space="preserve">á </w:t>
      </w:r>
      <w:r w:rsidRPr="004146C2">
        <w:rPr>
          <w:rFonts w:ascii="Times New Roman" w:hAnsi="Times New Roman"/>
          <w:sz w:val="24"/>
          <w:szCs w:val="24"/>
        </w:rPr>
        <w:t>vyhláš</w:t>
      </w:r>
      <w:r w:rsidR="00264BAD">
        <w:rPr>
          <w:rFonts w:ascii="Times New Roman" w:hAnsi="Times New Roman"/>
          <w:sz w:val="24"/>
          <w:szCs w:val="24"/>
        </w:rPr>
        <w:t>ka o stanovení koeficientů daně z nemovitých věcí</w:t>
      </w:r>
    </w:p>
    <w:p w:rsidR="00264BAD" w:rsidRPr="0028342C" w:rsidRDefault="00264BAD" w:rsidP="00264BAD">
      <w:pPr>
        <w:pStyle w:val="Odstavecseseznamem"/>
        <w:spacing w:after="120"/>
        <w:ind w:left="2126" w:hanging="2126"/>
        <w:jc w:val="both"/>
        <w:rPr>
          <w:b/>
          <w:color w:val="000000"/>
        </w:rPr>
      </w:pPr>
    </w:p>
    <w:p w:rsidR="004146C2" w:rsidRDefault="004146C2" w:rsidP="004146C2">
      <w:pPr>
        <w:spacing w:after="120"/>
        <w:ind w:left="2124" w:hanging="2124"/>
        <w:jc w:val="both"/>
      </w:pPr>
      <w:r>
        <w:rPr>
          <w:b/>
          <w:u w:val="single"/>
        </w:rPr>
        <w:t>Předkladatel:</w:t>
      </w:r>
      <w:r>
        <w:t xml:space="preserve"> </w:t>
      </w:r>
      <w:r>
        <w:tab/>
      </w:r>
      <w:r w:rsidR="00BD0F30">
        <w:t>Rada města Kyjova</w:t>
      </w:r>
    </w:p>
    <w:p w:rsidR="004146C2" w:rsidRPr="00F2621D" w:rsidRDefault="004146C2" w:rsidP="004146C2">
      <w:pPr>
        <w:spacing w:after="120"/>
        <w:ind w:left="2124" w:hanging="2124"/>
        <w:jc w:val="both"/>
      </w:pPr>
      <w:r>
        <w:tab/>
      </w:r>
    </w:p>
    <w:p w:rsidR="00D216AB" w:rsidRDefault="004146C2" w:rsidP="004146C2">
      <w:pPr>
        <w:spacing w:after="120"/>
      </w:pPr>
      <w:r>
        <w:rPr>
          <w:b/>
          <w:u w:val="single"/>
        </w:rPr>
        <w:t>Zpracovatel:</w:t>
      </w:r>
      <w:r>
        <w:tab/>
      </w:r>
      <w:r>
        <w:tab/>
      </w:r>
      <w:r w:rsidR="00D216AB">
        <w:t>Mgr. Markéta Pírková, vedoucí odboru majetkoprávního</w:t>
      </w:r>
    </w:p>
    <w:p w:rsidR="004146C2" w:rsidRPr="004475F8" w:rsidRDefault="004146C2" w:rsidP="00D216AB">
      <w:pPr>
        <w:spacing w:after="120"/>
        <w:ind w:left="1416" w:firstLine="708"/>
      </w:pPr>
      <w:r>
        <w:t>Mgr. Veronika Kmentová, odbor majetkoprávní</w:t>
      </w:r>
    </w:p>
    <w:p w:rsidR="004146C2" w:rsidRDefault="004146C2" w:rsidP="004146C2">
      <w:pPr>
        <w:spacing w:after="120"/>
        <w:rPr>
          <w:b/>
          <w:u w:val="single"/>
        </w:rPr>
      </w:pPr>
    </w:p>
    <w:p w:rsidR="004146C2" w:rsidRDefault="004146C2" w:rsidP="004146C2">
      <w:pPr>
        <w:spacing w:after="120"/>
      </w:pPr>
      <w:r w:rsidRPr="00614279">
        <w:rPr>
          <w:b/>
          <w:u w:val="single"/>
        </w:rPr>
        <w:t>Zpracováno dne:</w:t>
      </w:r>
      <w:r w:rsidRPr="00614279">
        <w:tab/>
      </w:r>
      <w:r w:rsidR="00BD0F30">
        <w:t>2</w:t>
      </w:r>
      <w:r w:rsidR="00CA3590">
        <w:t>1</w:t>
      </w:r>
      <w:r w:rsidR="00614279" w:rsidRPr="00614279">
        <w:t xml:space="preserve">. 8. </w:t>
      </w:r>
      <w:r w:rsidRPr="00614279">
        <w:t>202</w:t>
      </w:r>
      <w:r w:rsidR="00077BB1" w:rsidRPr="00614279">
        <w:t>4</w:t>
      </w:r>
    </w:p>
    <w:p w:rsidR="00227C6F" w:rsidRDefault="00227C6F" w:rsidP="00183F69">
      <w:pPr>
        <w:spacing w:line="360" w:lineRule="auto"/>
        <w:ind w:left="2126" w:hanging="2126"/>
        <w:jc w:val="both"/>
        <w:rPr>
          <w:b/>
          <w:u w:val="single"/>
        </w:rPr>
      </w:pPr>
    </w:p>
    <w:p w:rsidR="000508C1" w:rsidRDefault="000508C1" w:rsidP="00183F69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641B99" w:rsidRPr="00164053" w:rsidRDefault="000832AB" w:rsidP="00264BAD">
      <w:pPr>
        <w:spacing w:after="60" w:line="271" w:lineRule="auto"/>
        <w:jc w:val="both"/>
        <w:rPr>
          <w:rStyle w:val="Zvraznn"/>
          <w:i w:val="0"/>
        </w:rPr>
      </w:pPr>
      <w:r w:rsidRPr="00164053">
        <w:rPr>
          <w:rStyle w:val="Zvraznn"/>
        </w:rPr>
        <w:t>Zastupitelstvo města Kyjova</w:t>
      </w:r>
      <w:r w:rsidR="004E15BA" w:rsidRPr="00164053">
        <w:rPr>
          <w:rStyle w:val="Zvraznn"/>
        </w:rPr>
        <w:t>,</w:t>
      </w:r>
      <w:r w:rsidRPr="00164053">
        <w:rPr>
          <w:rStyle w:val="Zvraznn"/>
        </w:rPr>
        <w:t xml:space="preserve"> po projednání a v souladu s ustanovením </w:t>
      </w:r>
      <w:r w:rsidRPr="00164053">
        <w:rPr>
          <w:i/>
        </w:rPr>
        <w:t xml:space="preserve">§ 10 písm. d) a § 84 odst. 2 písm. h) zákona č. 128/2000 Sb., o obcích (obecní zřízení), ve znění pozdějších předpisů a </w:t>
      </w:r>
      <w:r w:rsidR="00264BAD" w:rsidRPr="00164053">
        <w:rPr>
          <w:i/>
        </w:rPr>
        <w:t>§ 6 odst. 4, § 11 odst. 5 a § 12 odst. 1 písm. a) bodu 4 zákona č. 338/1992 Sb., o dani z nemovitých věcí, ve znění pozdějších předpisů</w:t>
      </w:r>
      <w:r w:rsidR="00077BB1" w:rsidRPr="00164053">
        <w:rPr>
          <w:i/>
        </w:rPr>
        <w:t xml:space="preserve">, </w:t>
      </w:r>
      <w:r w:rsidRPr="00164053">
        <w:rPr>
          <w:rStyle w:val="Zvraznn"/>
        </w:rPr>
        <w:t xml:space="preserve">vydává </w:t>
      </w:r>
      <w:r w:rsidR="004A7CF6" w:rsidRPr="00164053">
        <w:rPr>
          <w:rStyle w:val="Zvraznn"/>
        </w:rPr>
        <w:t>O</w:t>
      </w:r>
      <w:r w:rsidR="0019053E" w:rsidRPr="00164053">
        <w:rPr>
          <w:rStyle w:val="Zvraznn"/>
        </w:rPr>
        <w:t xml:space="preserve">becně závaznou vyhlášku města Kyjova </w:t>
      </w:r>
      <w:r w:rsidR="00077BB1" w:rsidRPr="00164053">
        <w:rPr>
          <w:rStyle w:val="Zvraznn"/>
        </w:rPr>
        <w:t xml:space="preserve">o </w:t>
      </w:r>
      <w:r w:rsidR="00264BAD" w:rsidRPr="00164053">
        <w:rPr>
          <w:rStyle w:val="Zvraznn"/>
        </w:rPr>
        <w:t>stanovení koeficientů daně z nemovitých věcí</w:t>
      </w:r>
      <w:r w:rsidR="00924DA8">
        <w:rPr>
          <w:rStyle w:val="Zvraznn"/>
        </w:rPr>
        <w:t>.</w:t>
      </w:r>
    </w:p>
    <w:p w:rsidR="00641B99" w:rsidRDefault="00641B99" w:rsidP="00641B99">
      <w:pPr>
        <w:spacing w:line="271" w:lineRule="auto"/>
        <w:ind w:left="709"/>
        <w:jc w:val="both"/>
        <w:rPr>
          <w:rStyle w:val="Zvraznn"/>
        </w:rPr>
      </w:pPr>
    </w:p>
    <w:p w:rsidR="000508C1" w:rsidRDefault="000508C1" w:rsidP="00D44424">
      <w:pPr>
        <w:spacing w:after="60" w:line="271" w:lineRule="auto"/>
        <w:jc w:val="both"/>
        <w:rPr>
          <w:b/>
          <w:u w:val="single"/>
        </w:rPr>
      </w:pPr>
      <w:r w:rsidRPr="00183F69">
        <w:rPr>
          <w:b/>
          <w:u w:val="single"/>
        </w:rPr>
        <w:t xml:space="preserve">Důvodová zpráva: 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>Daň z nemovitých věcí (DNV) je upravena zákonem č. 338/1992 Sb., o dani z nemovitých věcí (dále jen „ZDNV“).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Výnos DNV je ze 100 % příjmem obcí, kdy příjemcem je obec, na jejímž území se nemovitá věc nachází (§ 4 odst. 1 písm. a) zákona č. 243/2000 Sb., o rozpočtovém určení daní). </w:t>
      </w:r>
    </w:p>
    <w:p w:rsidR="00614279" w:rsidRPr="009E712B" w:rsidRDefault="00614279" w:rsidP="00614279">
      <w:pPr>
        <w:spacing w:after="60" w:line="271" w:lineRule="auto"/>
        <w:jc w:val="both"/>
      </w:pPr>
      <w:r w:rsidRPr="009E712B">
        <w:t xml:space="preserve">Pro rok 2025 se však mění </w:t>
      </w:r>
      <w:r>
        <w:t>(</w:t>
      </w:r>
      <w:r w:rsidRPr="009E712B">
        <w:t>snižuje</w:t>
      </w:r>
      <w:r>
        <w:t>)</w:t>
      </w:r>
      <w:r w:rsidRPr="009E712B">
        <w:t xml:space="preserve"> podíl obcí na výnosu ze sdílených daní (rok 2024 - 24,92 % &gt; rok 2025 - 24,16 %).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V souvislosti s konsolidací veřejných rozpočtů (zákon č. 349/2023 Sb.) došlo k novelizaci ZDNV. Od 1. 1. 2024 došlo k zavedení inflačního koeficientu představujícím úpravu DNV v případě vyšší inflace bez nutnosti dalších legislativních zásahů. Jeho zavedením došlo v roce 2024 ke </w:t>
      </w:r>
      <w:r w:rsidRPr="009E712B">
        <w:rPr>
          <w:b/>
        </w:rPr>
        <w:t>zvýšení DNV ze zákona v průměru o 80 %.</w:t>
      </w:r>
      <w:r w:rsidRPr="009E712B">
        <w:t xml:space="preserve"> Od 1. 1. 2025 dochází ke změnám ve zmocnění obcí pro vydávání obecně závazných vyhlášek a možností regulace této oblasti.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Novela zavádí pro potřeby DNV skupiny nemovitých věcí. V § 5a odst. 1 ZDNV vymezuje skupiny pozemků a v § 10a odst. 1 ZDNV skupiny zdanitelných staveb a jednotek. </w:t>
      </w:r>
    </w:p>
    <w:p w:rsidR="00614279" w:rsidRPr="009E712B" w:rsidRDefault="00614279" w:rsidP="00614279">
      <w:pPr>
        <w:spacing w:after="60" w:line="271" w:lineRule="auto"/>
        <w:ind w:firstLine="708"/>
        <w:jc w:val="both"/>
        <w:rPr>
          <w:b/>
        </w:rPr>
      </w:pPr>
      <w:r w:rsidRPr="009E712B">
        <w:rPr>
          <w:b/>
        </w:rPr>
        <w:t>Obce budou oprávněny prostřednictvím OZV ovlivňovat výši DNV skrze koeficienty:</w:t>
      </w:r>
    </w:p>
    <w:p w:rsidR="00614279" w:rsidRPr="009E712B" w:rsidRDefault="00614279" w:rsidP="00614279">
      <w:pPr>
        <w:numPr>
          <w:ilvl w:val="0"/>
          <w:numId w:val="22"/>
        </w:numPr>
        <w:spacing w:after="60" w:line="271" w:lineRule="auto"/>
        <w:ind w:left="360"/>
        <w:jc w:val="both"/>
      </w:pPr>
      <w:r w:rsidRPr="009E712B">
        <w:t>úprava koeficientu podle počtu obyvatel, kterým se násobí sazba DNV v případě stavebních pozemků,</w:t>
      </w:r>
    </w:p>
    <w:p w:rsidR="00614279" w:rsidRPr="009E712B" w:rsidRDefault="00614279" w:rsidP="00614279">
      <w:pPr>
        <w:numPr>
          <w:ilvl w:val="0"/>
          <w:numId w:val="22"/>
        </w:numPr>
        <w:spacing w:after="60" w:line="271" w:lineRule="auto"/>
        <w:ind w:left="360"/>
        <w:jc w:val="both"/>
      </w:pPr>
      <w:r w:rsidRPr="009E712B">
        <w:lastRenderedPageBreak/>
        <w:t>úprava koeficientu podle počtu obyvatel, kterým se násobí sazba DNV v případě zdanitelných staveb ve skupině obytných budov a ostatních zdanitelných jednotek,</w:t>
      </w:r>
    </w:p>
    <w:p w:rsidR="00614279" w:rsidRPr="009E712B" w:rsidRDefault="00614279" w:rsidP="00614279">
      <w:pPr>
        <w:numPr>
          <w:ilvl w:val="0"/>
          <w:numId w:val="22"/>
        </w:numPr>
        <w:spacing w:after="60" w:line="271" w:lineRule="auto"/>
        <w:ind w:left="360"/>
        <w:jc w:val="both"/>
      </w:pPr>
      <w:r w:rsidRPr="009E712B">
        <w:t>stanovení místního koeficientu.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>Současně zanikne zákonné zmocnění pro zavedení „tzv. obecného koeficientu 1,5“ dle § 11 odst. 3 písm. b) ZDNV ve znění do 31. 12. 2023. Dochází k nemožnosti snížit koeficient podle počtu obyvatel a tento spolu s místním koeficientem stanovit pro jinou část obce než je území katastrálního území, městského obvodu či městské části. Tyto úpravy již nebude možné v roce 2025 aplikovat. Pokud budou v OZV stanoveny, nebude k nim přihlíženo.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Město </w:t>
      </w:r>
      <w:r>
        <w:t xml:space="preserve">Kyjov </w:t>
      </w:r>
      <w:r w:rsidRPr="009E712B">
        <w:t>má aktuálně platnou OZV č. 2/2000 o dani z nemovitostí. Její znění bude od roku 2025 kolidovat s novými zákonnými pravidly a zmocněními. A to v části rozdělení skupin nemovitých věcí, nastavení místního koeficientu a stanovení tzv. „obecného koeficientu 1,5“.</w:t>
      </w:r>
    </w:p>
    <w:p w:rsidR="00614279" w:rsidRDefault="00614279" w:rsidP="00614279">
      <w:pPr>
        <w:spacing w:after="60" w:line="271" w:lineRule="auto"/>
        <w:ind w:firstLine="708"/>
        <w:jc w:val="both"/>
      </w:pPr>
      <w:r w:rsidRPr="009E712B">
        <w:t xml:space="preserve">Pro </w:t>
      </w:r>
      <w:proofErr w:type="gramStart"/>
      <w:r w:rsidRPr="009E712B">
        <w:t>novou</w:t>
      </w:r>
      <w:proofErr w:type="gramEnd"/>
      <w:r w:rsidRPr="009E712B">
        <w:t xml:space="preserve"> OZV platí dle § 16a odst. 1 ZDNV pravidlo </w:t>
      </w:r>
      <w:r w:rsidRPr="00D216AB">
        <w:rPr>
          <w:b/>
          <w:u w:val="single"/>
        </w:rPr>
        <w:t>nabytí její platnosti do 30. 9.</w:t>
      </w:r>
      <w:r w:rsidRPr="009E712B">
        <w:t xml:space="preserve"> příslušného kalendářního roku (tj. jejího vydání zastupitelstvem a vyhlášení ve Sbírce právních předpisů ÚSC). V takovém případě pravidla v ní obsažená budou moci být aplikovatelná od 1. 1. následujícího kalendářního roku. V opačném případě se k takovým OZV v bezprostředně následujícím kalendářním roce nepřihlíží.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</w:p>
    <w:p w:rsidR="00614279" w:rsidRDefault="00614279" w:rsidP="00614279">
      <w:pPr>
        <w:spacing w:after="60" w:line="271" w:lineRule="auto"/>
        <w:ind w:firstLine="708"/>
        <w:jc w:val="both"/>
      </w:pPr>
      <w:r w:rsidRPr="009E712B">
        <w:t xml:space="preserve">V souvislosti s přípravou nového znění OZV oslovil odbor majetkoprávní Finanční úřad Jihomoravského kraje, který poskytl metodickou pomoc stran modelového propočtu DNV, návrhu úpravy a stanovení koeficientů DNV po vzoru současné OZV a ve světle nových zákonných pravidel (viz přílohou modelový propočet). Z návrhu vyplynulo jako optimální upravit koeficient podle počtu obyvatel v případě stavebních pozemků, zdanitelných staveb ve skupině obytných budov a ostatních zdanitelných jednotek a stanovit místní koeficient pro vybrané skupiny nemovitých věcí. 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>DNV se u výše vymezených skupin nemovitých věcí stanoví jako násobek zákonem stanovené sazby daně za 1 m</w:t>
      </w:r>
      <w:r w:rsidRPr="009E712B">
        <w:rPr>
          <w:vertAlign w:val="superscript"/>
        </w:rPr>
        <w:t>2</w:t>
      </w:r>
      <w:r w:rsidRPr="009E712B">
        <w:t xml:space="preserve"> a stanoveného koeficientu podle počtu obyvatel (§ 6 odst. 3 a § 11 odst. 4 ZDNV). Počet obyvatel bude nově (od 1. 1. 2025) stanoven dle </w:t>
      </w:r>
      <w:r w:rsidRPr="009E712B">
        <w:rPr>
          <w:bCs/>
        </w:rPr>
        <w:t>vyhlášky k provedení zákona o rozpočtovém určení daní ve znění účinném k prvnímu dni příslušného zdaňovacího období.</w:t>
      </w:r>
      <w:r w:rsidRPr="009E712B">
        <w:rPr>
          <w:b/>
          <w:bCs/>
        </w:rPr>
        <w:t xml:space="preserve"> </w:t>
      </w:r>
      <w:r w:rsidRPr="009E712B">
        <w:t>V případě města je koeficient podle počtu obyvatel aktuálně ve výši 2,0. Pokud počet obyvatel klesne pod vymezenou hranici příslušné kategorie koeficientu ZNDV, v aktuální kategorii města pod 10.000 obyvatel, „spadne“ město do nižší kategorie koeficientu s nižším výnosem DNV.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>Úprava koeficientu podle počtu obyvatel je možná pouze zvýšením koeficientu o jednu kategorii. V případě města tedy aktuálně na koeficient ve výši 2,5. Zvýšení lze stanovit na území jednotlivého katastrálního území, městského obvodu nebo městské části (§ 6 odst. 4 a § 11 odst. 5 ZDNV). Zvýšení koeficientu podle počtu obyvatel je navrženo pro všechna katastrální území města (Kyjov, Boršov u Kyjova, Nětčice u Kyjova a Bohuslavice u Kyjova).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Modelový propočet dále prezentuje stanovení místního koeficientu pro vybrané skupiny nemovitých věcí (§ 12ab odst. 4 ZDNV), jež jsou vymezeny ZDNV (§ 5a odst. 1 - skupiny pozemků, § 10a odst. 1 - skupiny zdanitelných staveb a jednotek). </w:t>
      </w:r>
    </w:p>
    <w:p w:rsidR="00614279" w:rsidRPr="009E712B" w:rsidRDefault="00614279" w:rsidP="00614279">
      <w:pPr>
        <w:spacing w:after="60" w:line="271" w:lineRule="auto"/>
        <w:ind w:firstLine="708"/>
        <w:jc w:val="both"/>
      </w:pPr>
      <w:r w:rsidRPr="009E712B">
        <w:t xml:space="preserve">Místní koeficient je možné stanovit v rozsahu 0,5 – 5,0 s výjimkou zemědělských pozemků a trvalých travních porostů, u nichž je možné stanovit rozsah 0,5 – 1,5. DNV u jednotlivých skupin nemovitých věcí je tedy možné zvýšit i snížit. </w:t>
      </w:r>
    </w:p>
    <w:p w:rsidR="00614279" w:rsidRDefault="00614279" w:rsidP="00614279">
      <w:pPr>
        <w:spacing w:after="60" w:line="271" w:lineRule="auto"/>
        <w:jc w:val="both"/>
      </w:pPr>
    </w:p>
    <w:p w:rsidR="00614279" w:rsidRDefault="00614279" w:rsidP="00614279">
      <w:pPr>
        <w:spacing w:after="60" w:line="271" w:lineRule="auto"/>
        <w:ind w:firstLine="708"/>
        <w:jc w:val="both"/>
      </w:pPr>
      <w:r w:rsidRPr="009E712B">
        <w:lastRenderedPageBreak/>
        <w:t>Místní koeficient se vztahuje na všechny nemovité věci spadající pod příslušnou skupinu a na celé území města. Není možné jej stanovit pouze pro území jednotlivého katastrálního území, městského obvodu či městské části (§ 12ab odst. 4 ZDNV). Pro každou skupinu nemovitých věcí lze stanovit pouze jeden místní koeficient.</w:t>
      </w:r>
    </w:p>
    <w:p w:rsidR="00614279" w:rsidRPr="006B2500" w:rsidRDefault="00CA3590" w:rsidP="00614279">
      <w:pPr>
        <w:spacing w:after="60" w:line="271" w:lineRule="auto"/>
        <w:ind w:firstLine="708"/>
        <w:jc w:val="both"/>
      </w:pPr>
      <w:r>
        <w:t xml:space="preserve">Modelový propočet FÚ </w:t>
      </w:r>
      <w:proofErr w:type="spellStart"/>
      <w:r>
        <w:t>JmK</w:t>
      </w:r>
      <w:proofErr w:type="spellEnd"/>
      <w:r>
        <w:t xml:space="preserve"> je koncipován</w:t>
      </w:r>
      <w:r w:rsidR="00614279" w:rsidRPr="006B2500">
        <w:t xml:space="preserve"> tak, aby výnosy DNV pro město zůstaly obdobné výnosům DNV dle </w:t>
      </w:r>
      <w:proofErr w:type="gramStart"/>
      <w:r w:rsidR="00614279" w:rsidRPr="006B2500">
        <w:t>aktuální</w:t>
      </w:r>
      <w:proofErr w:type="gramEnd"/>
      <w:r w:rsidR="00614279" w:rsidRPr="006B2500">
        <w:t xml:space="preserve"> OZV města a k dalšímu zásadnímu navýšení DNV pro poplatníky by nyní nedošlo.</w:t>
      </w:r>
      <w:r w:rsidR="00614279">
        <w:t xml:space="preserve"> Nic nebrání tomu, aby se s koeficienty dále pracovalo v budoucnu.</w:t>
      </w:r>
    </w:p>
    <w:p w:rsidR="00614279" w:rsidRDefault="00614279" w:rsidP="00614279">
      <w:pPr>
        <w:spacing w:after="60" w:line="271" w:lineRule="auto"/>
        <w:jc w:val="both"/>
        <w:rPr>
          <w:b/>
        </w:rPr>
      </w:pPr>
    </w:p>
    <w:p w:rsidR="00614279" w:rsidRPr="006B2500" w:rsidRDefault="00614279" w:rsidP="00614279">
      <w:pPr>
        <w:spacing w:after="60" w:line="271" w:lineRule="auto"/>
        <w:jc w:val="both"/>
        <w:rPr>
          <w:b/>
        </w:rPr>
      </w:pPr>
      <w:r>
        <w:rPr>
          <w:b/>
        </w:rPr>
        <w:t>Návrh OZV:</w:t>
      </w:r>
    </w:p>
    <w:p w:rsidR="00614279" w:rsidRDefault="00614279" w:rsidP="00614279">
      <w:pPr>
        <w:spacing w:after="60" w:line="271" w:lineRule="auto"/>
        <w:ind w:firstLine="708"/>
        <w:jc w:val="both"/>
      </w:pPr>
      <w:r w:rsidRPr="009E712B">
        <w:t xml:space="preserve">Návrh OZV </w:t>
      </w:r>
      <w:r>
        <w:t>je</w:t>
      </w:r>
      <w:r w:rsidRPr="009E712B">
        <w:t xml:space="preserve"> zpracován ve světle nových zákonných pravidel a propočtů vycházejících z koeficientů stanovených aktuální OZV při zohlednění snížení podílu výnosů obcí ze sdílených daní. </w:t>
      </w:r>
      <w:r w:rsidR="00CA3590">
        <w:t>U</w:t>
      </w:r>
      <w:r w:rsidRPr="009E712B">
        <w:t>prav</w:t>
      </w:r>
      <w:r w:rsidR="00316DE3">
        <w:t>uj</w:t>
      </w:r>
      <w:r w:rsidR="00CA3590">
        <w:t>e</w:t>
      </w:r>
      <w:r w:rsidRPr="009E712B">
        <w:t xml:space="preserve"> (zvyš</w:t>
      </w:r>
      <w:r w:rsidR="00316DE3">
        <w:t>uj</w:t>
      </w:r>
      <w:r w:rsidR="00CA3590">
        <w:t>e</w:t>
      </w:r>
      <w:r w:rsidRPr="009E712B">
        <w:t>) koeficient podle počtu obyvatel o jednu kategorii, kterým se násobí sazba DNV v případě stavebních pozemků, zdanitelných staveb ve skupině obytných budov a ostatních zdanitelných jednotek na území všech katastrálních území města a stanoví místní koeficient pro vybrané skupiny nemovitých věcí, a to takto:</w:t>
      </w:r>
    </w:p>
    <w:p w:rsidR="00614279" w:rsidRPr="006B2500" w:rsidRDefault="00614279" w:rsidP="00614279">
      <w:pPr>
        <w:pStyle w:val="Odstavecseseznamem"/>
        <w:numPr>
          <w:ilvl w:val="0"/>
          <w:numId w:val="36"/>
        </w:numPr>
        <w:tabs>
          <w:tab w:val="left" w:pos="284"/>
        </w:tabs>
        <w:spacing w:after="60" w:line="271" w:lineRule="auto"/>
        <w:jc w:val="both"/>
        <w:rPr>
          <w:rFonts w:ascii="Times New Roman" w:hAnsi="Times New Roman"/>
          <w:color w:val="00B0F0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rekreační budovy</w:t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B2500">
        <w:rPr>
          <w:rFonts w:ascii="Times New Roman" w:hAnsi="Times New Roman"/>
          <w:color w:val="00B0F0"/>
          <w:sz w:val="24"/>
          <w:szCs w:val="24"/>
        </w:rPr>
        <w:t>koeficient 1,5</w:t>
      </w:r>
    </w:p>
    <w:p w:rsidR="00614279" w:rsidRPr="009E712B" w:rsidRDefault="00614279" w:rsidP="00614279">
      <w:pPr>
        <w:pStyle w:val="Odstavecseseznamem"/>
        <w:numPr>
          <w:ilvl w:val="0"/>
          <w:numId w:val="30"/>
        </w:numPr>
        <w:tabs>
          <w:tab w:val="left" w:pos="709"/>
        </w:tabs>
        <w:spacing w:after="60" w:line="271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 xml:space="preserve">všechny budovy se způsobem </w:t>
      </w:r>
      <w:r w:rsidRPr="00847D14">
        <w:rPr>
          <w:rFonts w:ascii="Times New Roman" w:hAnsi="Times New Roman"/>
          <w:sz w:val="24"/>
          <w:szCs w:val="24"/>
        </w:rPr>
        <w:t>využití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D14">
        <w:rPr>
          <w:rFonts w:ascii="Times New Roman" w:hAnsi="Times New Roman"/>
          <w:sz w:val="24"/>
          <w:szCs w:val="24"/>
        </w:rPr>
        <w:t>stavba</w:t>
      </w:r>
      <w:r w:rsidRPr="009E712B">
        <w:rPr>
          <w:rFonts w:ascii="Times New Roman" w:hAnsi="Times New Roman"/>
          <w:sz w:val="24"/>
          <w:szCs w:val="24"/>
        </w:rPr>
        <w:t xml:space="preserve"> pro rodinnou rekreaci,</w:t>
      </w:r>
    </w:p>
    <w:p w:rsidR="00614279" w:rsidRPr="009E712B" w:rsidRDefault="00614279" w:rsidP="00614279">
      <w:pPr>
        <w:pStyle w:val="Odstavecseseznamem"/>
        <w:numPr>
          <w:ilvl w:val="0"/>
          <w:numId w:val="30"/>
        </w:numPr>
        <w:tabs>
          <w:tab w:val="left" w:pos="709"/>
        </w:tabs>
        <w:spacing w:after="60" w:line="271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 xml:space="preserve">všechny budovy rodinných domů užívaných pro rodinnou rekreaci, které zároveň nejsou využívány k trvalému bydlení, </w:t>
      </w:r>
    </w:p>
    <w:p w:rsidR="00614279" w:rsidRPr="009E712B" w:rsidRDefault="00614279" w:rsidP="00614279">
      <w:pPr>
        <w:pStyle w:val="Odstavecseseznamem"/>
        <w:numPr>
          <w:ilvl w:val="0"/>
          <w:numId w:val="30"/>
        </w:numPr>
        <w:tabs>
          <w:tab w:val="left" w:pos="709"/>
        </w:tabs>
        <w:spacing w:after="60" w:line="271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 xml:space="preserve">objekt k bydlení užívaný pro rodinnou rekreaci, který není zároveň využíván k trvalému bydlení </w:t>
      </w:r>
    </w:p>
    <w:p w:rsidR="00614279" w:rsidRPr="009E712B" w:rsidRDefault="00614279" w:rsidP="00614279">
      <w:pPr>
        <w:pStyle w:val="Odstavecseseznamem"/>
        <w:numPr>
          <w:ilvl w:val="0"/>
          <w:numId w:val="30"/>
        </w:numPr>
        <w:tabs>
          <w:tab w:val="left" w:pos="709"/>
        </w:tabs>
        <w:spacing w:after="60" w:line="271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budovy s výjimkou budovy garáže, které plní doplňkovou funkci k budovám pro rodinnou rekreaci;</w:t>
      </w:r>
    </w:p>
    <w:p w:rsidR="00614279" w:rsidRPr="009E712B" w:rsidRDefault="00614279" w:rsidP="00614279">
      <w:pPr>
        <w:pStyle w:val="Odstavecseseznamem"/>
        <w:numPr>
          <w:ilvl w:val="0"/>
          <w:numId w:val="36"/>
        </w:numPr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garáže</w:t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 w:rsidRPr="009E71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B2500">
        <w:rPr>
          <w:rFonts w:ascii="Times New Roman" w:hAnsi="Times New Roman"/>
          <w:color w:val="00B0F0"/>
          <w:sz w:val="24"/>
          <w:szCs w:val="24"/>
        </w:rPr>
        <w:t>koeficient 1,5</w:t>
      </w:r>
    </w:p>
    <w:p w:rsidR="00614279" w:rsidRPr="009E712B" w:rsidRDefault="00614279" w:rsidP="00614279">
      <w:pPr>
        <w:pStyle w:val="Odstavecseseznamem"/>
        <w:numPr>
          <w:ilvl w:val="0"/>
          <w:numId w:val="31"/>
        </w:numPr>
        <w:spacing w:after="60" w:line="271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všechny budovy se způsobem využití garáž a zdanitelné jednotky, jejichž převažující část podlahové plochy je užívána jako garáž;</w:t>
      </w:r>
    </w:p>
    <w:p w:rsidR="00614279" w:rsidRPr="00C65214" w:rsidRDefault="00614279" w:rsidP="00614279">
      <w:pPr>
        <w:pStyle w:val="Odstavecseseznamem"/>
        <w:numPr>
          <w:ilvl w:val="0"/>
          <w:numId w:val="36"/>
        </w:numPr>
        <w:spacing w:after="60" w:line="271" w:lineRule="auto"/>
        <w:ind w:left="284" w:hanging="284"/>
        <w:jc w:val="both"/>
        <w:rPr>
          <w:rFonts w:ascii="Times New Roman" w:hAnsi="Times New Roman"/>
          <w:color w:val="00B0F0"/>
          <w:sz w:val="24"/>
          <w:szCs w:val="24"/>
        </w:rPr>
      </w:pPr>
      <w:r w:rsidRPr="00C65214">
        <w:rPr>
          <w:rFonts w:ascii="Times New Roman" w:hAnsi="Times New Roman"/>
          <w:sz w:val="24"/>
          <w:szCs w:val="24"/>
        </w:rPr>
        <w:t>zdanitelné stavby a zdanitelné jednotky pro podnikání v zemědělské prvovýrobě, lesním nebo vodním hospodářství</w:t>
      </w:r>
      <w:r w:rsidRPr="00C65214">
        <w:rPr>
          <w:rFonts w:ascii="Times New Roman" w:hAnsi="Times New Roman"/>
          <w:sz w:val="24"/>
          <w:szCs w:val="24"/>
        </w:rPr>
        <w:tab/>
      </w:r>
      <w:r w:rsidRPr="00C65214">
        <w:rPr>
          <w:rFonts w:ascii="Times New Roman" w:hAnsi="Times New Roman"/>
          <w:sz w:val="24"/>
          <w:szCs w:val="24"/>
        </w:rPr>
        <w:tab/>
      </w:r>
      <w:r w:rsidRPr="00C6521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65214">
        <w:rPr>
          <w:rFonts w:ascii="Times New Roman" w:hAnsi="Times New Roman"/>
          <w:color w:val="00B0F0"/>
          <w:sz w:val="24"/>
          <w:szCs w:val="24"/>
        </w:rPr>
        <w:t>koeficient 1,5</w:t>
      </w:r>
    </w:p>
    <w:p w:rsidR="00614279" w:rsidRPr="009E712B" w:rsidRDefault="00614279" w:rsidP="00614279">
      <w:pPr>
        <w:pStyle w:val="Odstavecseseznamem"/>
        <w:numPr>
          <w:ilvl w:val="0"/>
          <w:numId w:val="32"/>
        </w:numPr>
        <w:spacing w:after="60" w:line="271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všechny zdanitelné stavby a jednotky, jejichž převažující část podlahové plochy je používána k podnikání v zemědělské prvovýrobě, lesním nebo vodním hospodářství;</w:t>
      </w:r>
    </w:p>
    <w:p w:rsidR="00614279" w:rsidRPr="00C65214" w:rsidRDefault="00614279" w:rsidP="00614279">
      <w:pPr>
        <w:pStyle w:val="Odstavecseseznamem"/>
        <w:numPr>
          <w:ilvl w:val="0"/>
          <w:numId w:val="36"/>
        </w:numPr>
        <w:spacing w:after="60" w:line="271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65214">
        <w:rPr>
          <w:rFonts w:ascii="Times New Roman" w:hAnsi="Times New Roman"/>
          <w:sz w:val="24"/>
          <w:szCs w:val="24"/>
        </w:rPr>
        <w:t>zdanitelné stavby a zdanitelné jednotky pro podnikání v průmyslu, stavebnictví, dopravě, energetice nebo ostatní zemědělské výrobě</w:t>
      </w:r>
      <w:r w:rsidRPr="00C6521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65214">
        <w:rPr>
          <w:rFonts w:ascii="Times New Roman" w:hAnsi="Times New Roman"/>
          <w:color w:val="00B0F0"/>
          <w:sz w:val="24"/>
          <w:szCs w:val="24"/>
        </w:rPr>
        <w:t>koeficient 1,5</w:t>
      </w:r>
    </w:p>
    <w:p w:rsidR="00614279" w:rsidRPr="009E712B" w:rsidRDefault="00614279" w:rsidP="00614279">
      <w:pPr>
        <w:pStyle w:val="Odstavecseseznamem"/>
        <w:numPr>
          <w:ilvl w:val="0"/>
          <w:numId w:val="33"/>
        </w:numPr>
        <w:spacing w:after="60" w:line="271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všechny zdanitelné stavby a jednotky, jejichž převažující část podlahové plochy je používána k podnikání v průmyslu, stavebnictví, dopravě, energetice nebo ostatní zemědělské výrobě;</w:t>
      </w:r>
    </w:p>
    <w:p w:rsidR="00614279" w:rsidRPr="00C65214" w:rsidRDefault="00614279" w:rsidP="00614279">
      <w:pPr>
        <w:pStyle w:val="Odstavecseseznamem"/>
        <w:numPr>
          <w:ilvl w:val="0"/>
          <w:numId w:val="36"/>
        </w:numPr>
        <w:spacing w:after="60" w:line="271" w:lineRule="auto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zdanitelné stavby a zdanitelné jednotky pro ostatní druhy podnikání</w:t>
      </w:r>
      <w:r w:rsidRPr="009E712B">
        <w:rPr>
          <w:rFonts w:ascii="Times New Roman" w:hAnsi="Times New Roman"/>
          <w:sz w:val="24"/>
          <w:szCs w:val="24"/>
        </w:rPr>
        <w:tab/>
      </w:r>
      <w:r w:rsidRPr="00C65214">
        <w:rPr>
          <w:rFonts w:ascii="Times New Roman" w:hAnsi="Times New Roman"/>
          <w:color w:val="00B0F0"/>
          <w:sz w:val="24"/>
          <w:szCs w:val="24"/>
        </w:rPr>
        <w:t xml:space="preserve">koeficient </w:t>
      </w:r>
      <w:r>
        <w:rPr>
          <w:rFonts w:ascii="Times New Roman" w:hAnsi="Times New Roman"/>
          <w:color w:val="00B0F0"/>
          <w:sz w:val="24"/>
          <w:szCs w:val="24"/>
        </w:rPr>
        <w:t>1,5</w:t>
      </w:r>
    </w:p>
    <w:p w:rsidR="00614279" w:rsidRPr="009E712B" w:rsidRDefault="00614279" w:rsidP="00614279">
      <w:pPr>
        <w:pStyle w:val="Odstavecseseznamem"/>
        <w:numPr>
          <w:ilvl w:val="0"/>
          <w:numId w:val="34"/>
        </w:numPr>
        <w:spacing w:after="60" w:line="271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9E712B">
        <w:rPr>
          <w:rFonts w:ascii="Times New Roman" w:hAnsi="Times New Roman"/>
          <w:sz w:val="24"/>
          <w:szCs w:val="24"/>
        </w:rPr>
        <w:t>všechny zdanitelné stavby a jednotky, jejichž převažující část podlahové plochy je používána k ostatním druhům podnikání.</w:t>
      </w:r>
    </w:p>
    <w:p w:rsidR="00614279" w:rsidRDefault="00614279" w:rsidP="00614279">
      <w:pPr>
        <w:spacing w:after="60" w:line="271" w:lineRule="auto"/>
        <w:jc w:val="both"/>
      </w:pPr>
    </w:p>
    <w:p w:rsidR="00614279" w:rsidRDefault="00614279" w:rsidP="00614279">
      <w:pPr>
        <w:spacing w:after="60" w:line="271" w:lineRule="auto"/>
        <w:ind w:firstLine="708"/>
        <w:jc w:val="both"/>
      </w:pPr>
      <w:r w:rsidRPr="009E712B">
        <w:t xml:space="preserve">Oblast regulace DNV je poslední oblastí, která ve výčtu účinných právních předpisů města nebyla revidována. V případě, že OZV nebude vydána, aktuální OZV č. 2/2000 nebude možné pro zdaňovací období 2025 aplikovat a dojde k poklesu výnosu DNV pro příští kalendářní rok. </w:t>
      </w:r>
    </w:p>
    <w:p w:rsidR="00316DE3" w:rsidRDefault="00243D5F" w:rsidP="00614279">
      <w:pPr>
        <w:spacing w:after="60" w:line="271" w:lineRule="auto"/>
        <w:ind w:firstLine="708"/>
        <w:jc w:val="both"/>
      </w:pPr>
      <w:r>
        <w:lastRenderedPageBreak/>
        <w:t>Znění</w:t>
      </w:r>
      <w:r w:rsidR="00316DE3">
        <w:t xml:space="preserve"> návrh</w:t>
      </w:r>
      <w:r w:rsidR="00CA3590">
        <w:t>u</w:t>
      </w:r>
      <w:r w:rsidR="00316DE3">
        <w:t xml:space="preserve"> OZV byl</w:t>
      </w:r>
      <w:r w:rsidR="00CA3590">
        <w:t>o</w:t>
      </w:r>
      <w:r w:rsidR="00316DE3">
        <w:t xml:space="preserve"> v rámci předběžné metodické pomoci schválen</w:t>
      </w:r>
      <w:r w:rsidR="00CA3590">
        <w:t>o</w:t>
      </w:r>
      <w:r w:rsidR="00316DE3">
        <w:t xml:space="preserve"> Ministerstvem vnitra ČR. </w:t>
      </w:r>
    </w:p>
    <w:p w:rsidR="00924DA8" w:rsidRPr="009E712B" w:rsidRDefault="00924DA8" w:rsidP="00614279">
      <w:pPr>
        <w:spacing w:after="60" w:line="271" w:lineRule="auto"/>
        <w:ind w:firstLine="708"/>
        <w:jc w:val="both"/>
      </w:pPr>
      <w:r>
        <w:t xml:space="preserve">Rada města Kyjova na své 54. schůzi konané dne 19. 8. 2024 diskutovala vedle předkládaného návrhu i variantu II. upravující případné navýšení místního koeficientu </w:t>
      </w:r>
      <w:r w:rsidR="00F344E9">
        <w:t>u</w:t>
      </w:r>
      <w:r>
        <w:t xml:space="preserve"> jednotlivých </w:t>
      </w:r>
      <w:r w:rsidR="00F344E9">
        <w:t>skupin nemovitých věcí</w:t>
      </w:r>
      <w:r>
        <w:t>.</w:t>
      </w:r>
      <w:r w:rsidR="00CA3590">
        <w:t xml:space="preserve"> Tato však nebyla ve světle výše uvedeného doporučena k projednání.</w:t>
      </w:r>
      <w:r>
        <w:t xml:space="preserve"> </w:t>
      </w:r>
    </w:p>
    <w:p w:rsidR="00614279" w:rsidRDefault="00614279" w:rsidP="00614279">
      <w:pPr>
        <w:spacing w:line="271" w:lineRule="auto"/>
        <w:ind w:firstLine="708"/>
        <w:jc w:val="both"/>
      </w:pPr>
      <w:r w:rsidRPr="00924DA8">
        <w:t xml:space="preserve">Materiál </w:t>
      </w:r>
      <w:r w:rsidR="00924DA8" w:rsidRPr="00924DA8">
        <w:t xml:space="preserve">obou variant úpravy koeficientu DNV </w:t>
      </w:r>
      <w:r w:rsidRPr="00924DA8">
        <w:t>projedná</w:t>
      </w:r>
      <w:r w:rsidR="00924DA8" w:rsidRPr="00924DA8">
        <w:t>val</w:t>
      </w:r>
      <w:r w:rsidRPr="00924DA8">
        <w:t xml:space="preserve"> také Finanční</w:t>
      </w:r>
      <w:r w:rsidR="00924DA8" w:rsidRPr="00924DA8">
        <w:t xml:space="preserve"> výbor</w:t>
      </w:r>
      <w:r w:rsidRPr="00924DA8">
        <w:t xml:space="preserve"> Zastupitelstva města Kyjova</w:t>
      </w:r>
      <w:r w:rsidR="00C43BBE" w:rsidRPr="00924DA8">
        <w:t xml:space="preserve"> konan</w:t>
      </w:r>
      <w:r w:rsidR="00924DA8" w:rsidRPr="00924DA8">
        <w:t>ý</w:t>
      </w:r>
      <w:r w:rsidR="00C43BBE" w:rsidRPr="00924DA8">
        <w:t xml:space="preserve"> </w:t>
      </w:r>
      <w:r w:rsidRPr="00924DA8">
        <w:t>dne 20. 8. 2024, tj. až po konání „přípravné“ rady města.</w:t>
      </w:r>
      <w:r w:rsidR="00924DA8" w:rsidRPr="00924DA8">
        <w:t xml:space="preserve"> Finanční výbor nepřijal žádné doporučující usnesení.</w:t>
      </w:r>
    </w:p>
    <w:p w:rsidR="00316DE3" w:rsidRPr="00614279" w:rsidRDefault="00316DE3" w:rsidP="00614279">
      <w:pPr>
        <w:spacing w:line="271" w:lineRule="auto"/>
        <w:ind w:firstLine="708"/>
        <w:jc w:val="both"/>
      </w:pPr>
      <w:r>
        <w:t>Pravomoc k vydávání OZV je dle zákona o obcích vyhrazena zastupitelstvu města.</w:t>
      </w:r>
    </w:p>
    <w:p w:rsidR="006613EF" w:rsidRPr="00614279" w:rsidRDefault="006613EF" w:rsidP="006613EF">
      <w:pPr>
        <w:spacing w:line="271" w:lineRule="auto"/>
        <w:jc w:val="both"/>
        <w:rPr>
          <w:u w:val="single"/>
        </w:rPr>
      </w:pPr>
    </w:p>
    <w:p w:rsidR="00BD0F30" w:rsidRDefault="00BD0F30" w:rsidP="00D44424">
      <w:pPr>
        <w:spacing w:after="60"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>:</w:t>
      </w:r>
    </w:p>
    <w:p w:rsidR="00BD0F30" w:rsidRPr="00BD0F30" w:rsidRDefault="00BD0F30" w:rsidP="00D44424">
      <w:pPr>
        <w:spacing w:after="60" w:line="271" w:lineRule="auto"/>
        <w:jc w:val="both"/>
      </w:pPr>
      <w:r w:rsidRPr="00BD0F30">
        <w:t>Rada města Kyjova na své 54. schůzi konané dne 19. 8. 2024 doporučila</w:t>
      </w:r>
      <w:r>
        <w:t xml:space="preserve"> Zastupitelstvu města </w:t>
      </w:r>
      <w:r w:rsidRPr="00C064F9">
        <w:t xml:space="preserve">Kyjova </w:t>
      </w:r>
      <w:r w:rsidR="00C064F9" w:rsidRPr="00C064F9">
        <w:t>přijmout usnesení v navrhovaném znění.</w:t>
      </w:r>
      <w:r w:rsidRPr="00BD0F30">
        <w:t xml:space="preserve"> </w:t>
      </w:r>
    </w:p>
    <w:p w:rsidR="00BD0F30" w:rsidRDefault="00BD0F30" w:rsidP="00D44424">
      <w:pPr>
        <w:spacing w:after="60" w:line="271" w:lineRule="auto"/>
        <w:jc w:val="both"/>
        <w:rPr>
          <w:b/>
          <w:u w:val="single"/>
        </w:rPr>
      </w:pPr>
    </w:p>
    <w:p w:rsidR="00E64AF6" w:rsidRDefault="00E64AF6" w:rsidP="00D44424">
      <w:pPr>
        <w:spacing w:after="60" w:line="271" w:lineRule="auto"/>
        <w:jc w:val="both"/>
        <w:rPr>
          <w:b/>
          <w:u w:val="single"/>
        </w:rPr>
      </w:pPr>
      <w:r w:rsidRPr="006465FD">
        <w:rPr>
          <w:b/>
          <w:u w:val="single"/>
        </w:rPr>
        <w:t>Dopad na rozpočet města:</w:t>
      </w:r>
    </w:p>
    <w:p w:rsidR="008B6125" w:rsidRDefault="00264BAD" w:rsidP="00D44424">
      <w:pPr>
        <w:spacing w:after="60" w:line="271" w:lineRule="auto"/>
        <w:jc w:val="both"/>
      </w:pPr>
      <w:r>
        <w:t>Dopad do příjmové části rozpočtu</w:t>
      </w:r>
      <w:r w:rsidR="00CA3590">
        <w:t>.</w:t>
      </w:r>
    </w:p>
    <w:p w:rsidR="006613EF" w:rsidRDefault="006613EF" w:rsidP="00D44424">
      <w:pPr>
        <w:spacing w:after="60" w:line="271" w:lineRule="auto"/>
        <w:jc w:val="both"/>
        <w:rPr>
          <w:b/>
          <w:u w:val="single"/>
        </w:rPr>
      </w:pPr>
    </w:p>
    <w:p w:rsidR="00F25C25" w:rsidRDefault="00F25C25" w:rsidP="00D44424">
      <w:pPr>
        <w:spacing w:after="60" w:line="271" w:lineRule="auto"/>
        <w:jc w:val="both"/>
        <w:rPr>
          <w:b/>
        </w:rPr>
      </w:pPr>
      <w:r w:rsidRPr="00B31C2D">
        <w:rPr>
          <w:b/>
          <w:u w:val="single"/>
        </w:rPr>
        <w:t>Příloha</w:t>
      </w:r>
      <w:r w:rsidRPr="00B31C2D">
        <w:rPr>
          <w:b/>
        </w:rPr>
        <w:t xml:space="preserve">: </w:t>
      </w:r>
    </w:p>
    <w:p w:rsidR="00CA3590" w:rsidRDefault="001339B1" w:rsidP="00264BAD">
      <w:pPr>
        <w:spacing w:after="60" w:line="271" w:lineRule="auto"/>
        <w:jc w:val="both"/>
      </w:pPr>
      <w:r>
        <w:t xml:space="preserve">Modelový propočet </w:t>
      </w:r>
    </w:p>
    <w:p w:rsidR="00264BAD" w:rsidRPr="00584B3E" w:rsidRDefault="00926A94" w:rsidP="00264BAD">
      <w:pPr>
        <w:spacing w:after="60" w:line="271" w:lineRule="auto"/>
        <w:jc w:val="both"/>
      </w:pPr>
      <w:r w:rsidRPr="00584B3E">
        <w:t xml:space="preserve">Návrh OZV o </w:t>
      </w:r>
      <w:r w:rsidR="00264BAD">
        <w:t>stanovení koeficientů daně z nemovitých věcí</w:t>
      </w:r>
    </w:p>
    <w:p w:rsidR="00584B3E" w:rsidRPr="00584B3E" w:rsidRDefault="00584B3E" w:rsidP="00D44424">
      <w:pPr>
        <w:spacing w:after="60" w:line="271" w:lineRule="auto"/>
        <w:jc w:val="both"/>
      </w:pPr>
    </w:p>
    <w:sectPr w:rsidR="00584B3E" w:rsidRPr="00584B3E" w:rsidSect="00A078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674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0138"/>
    <w:multiLevelType w:val="hybridMultilevel"/>
    <w:tmpl w:val="EB2A72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544DE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7730"/>
    <w:multiLevelType w:val="hybridMultilevel"/>
    <w:tmpl w:val="1C2626AA"/>
    <w:lvl w:ilvl="0" w:tplc="BBA8B0B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460E"/>
    <w:multiLevelType w:val="hybridMultilevel"/>
    <w:tmpl w:val="60C4AE52"/>
    <w:lvl w:ilvl="0" w:tplc="0F56CAF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F763C6"/>
    <w:multiLevelType w:val="hybridMultilevel"/>
    <w:tmpl w:val="E4A05F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0229B7"/>
    <w:multiLevelType w:val="hybridMultilevel"/>
    <w:tmpl w:val="FF3C35AE"/>
    <w:lvl w:ilvl="0" w:tplc="9E021A4C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13E8F"/>
    <w:multiLevelType w:val="hybridMultilevel"/>
    <w:tmpl w:val="6B620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008E0"/>
    <w:multiLevelType w:val="hybridMultilevel"/>
    <w:tmpl w:val="C5524F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54DA6"/>
    <w:multiLevelType w:val="hybridMultilevel"/>
    <w:tmpl w:val="B440B0F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962832"/>
    <w:multiLevelType w:val="hybridMultilevel"/>
    <w:tmpl w:val="A170D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944F8"/>
    <w:multiLevelType w:val="hybridMultilevel"/>
    <w:tmpl w:val="FC20FD80"/>
    <w:lvl w:ilvl="0" w:tplc="B07ABF10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13724"/>
    <w:multiLevelType w:val="hybridMultilevel"/>
    <w:tmpl w:val="46160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FD108B"/>
    <w:multiLevelType w:val="hybridMultilevel"/>
    <w:tmpl w:val="5B5EA0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57829"/>
    <w:multiLevelType w:val="hybridMultilevel"/>
    <w:tmpl w:val="B440B0F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0163AB"/>
    <w:multiLevelType w:val="hybridMultilevel"/>
    <w:tmpl w:val="28489CA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95B46"/>
    <w:multiLevelType w:val="hybridMultilevel"/>
    <w:tmpl w:val="55E0CBF8"/>
    <w:lvl w:ilvl="0" w:tplc="A24A913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765C4"/>
    <w:multiLevelType w:val="hybridMultilevel"/>
    <w:tmpl w:val="DA908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50342"/>
    <w:multiLevelType w:val="hybridMultilevel"/>
    <w:tmpl w:val="C674DAB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B0743C"/>
    <w:multiLevelType w:val="hybridMultilevel"/>
    <w:tmpl w:val="194E29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E1E66"/>
    <w:multiLevelType w:val="hybridMultilevel"/>
    <w:tmpl w:val="28CC9F2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9527A8"/>
    <w:multiLevelType w:val="hybridMultilevel"/>
    <w:tmpl w:val="8974AB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03940"/>
    <w:multiLevelType w:val="hybridMultilevel"/>
    <w:tmpl w:val="28CC9F2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D22281"/>
    <w:multiLevelType w:val="hybridMultilevel"/>
    <w:tmpl w:val="DAA20DB6"/>
    <w:lvl w:ilvl="0" w:tplc="6706A9B2">
      <w:start w:val="3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613B2"/>
    <w:multiLevelType w:val="hybridMultilevel"/>
    <w:tmpl w:val="B440B0F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FE4BEC"/>
    <w:multiLevelType w:val="hybridMultilevel"/>
    <w:tmpl w:val="CF069A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A13B3"/>
    <w:multiLevelType w:val="hybridMultilevel"/>
    <w:tmpl w:val="B9684604"/>
    <w:lvl w:ilvl="0" w:tplc="83BA12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4E7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0C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60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60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E8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AB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908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6E3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3770CD2"/>
    <w:multiLevelType w:val="hybridMultilevel"/>
    <w:tmpl w:val="00D2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A2F21"/>
    <w:multiLevelType w:val="hybridMultilevel"/>
    <w:tmpl w:val="9BB4E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26127"/>
    <w:multiLevelType w:val="hybridMultilevel"/>
    <w:tmpl w:val="CE66CC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E5D79"/>
    <w:multiLevelType w:val="hybridMultilevel"/>
    <w:tmpl w:val="70ECAC04"/>
    <w:lvl w:ilvl="0" w:tplc="1A58F5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6A27D18"/>
    <w:multiLevelType w:val="hybridMultilevel"/>
    <w:tmpl w:val="C674DAB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8D562B1"/>
    <w:multiLevelType w:val="hybridMultilevel"/>
    <w:tmpl w:val="BE8C953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C3BE5"/>
    <w:multiLevelType w:val="hybridMultilevel"/>
    <w:tmpl w:val="5B5EA0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4"/>
  </w:num>
  <w:num w:numId="6">
    <w:abstractNumId w:val="7"/>
  </w:num>
  <w:num w:numId="7">
    <w:abstractNumId w:val="38"/>
  </w:num>
  <w:num w:numId="8">
    <w:abstractNumId w:val="16"/>
  </w:num>
  <w:num w:numId="9">
    <w:abstractNumId w:val="13"/>
  </w:num>
  <w:num w:numId="10">
    <w:abstractNumId w:val="2"/>
  </w:num>
  <w:num w:numId="11">
    <w:abstractNumId w:val="0"/>
  </w:num>
  <w:num w:numId="12">
    <w:abstractNumId w:val="20"/>
  </w:num>
  <w:num w:numId="13">
    <w:abstractNumId w:val="21"/>
  </w:num>
  <w:num w:numId="14">
    <w:abstractNumId w:val="5"/>
  </w:num>
  <w:num w:numId="15">
    <w:abstractNumId w:val="1"/>
  </w:num>
  <w:num w:numId="16">
    <w:abstractNumId w:val="32"/>
  </w:num>
  <w:num w:numId="17">
    <w:abstractNumId w:val="8"/>
  </w:num>
  <w:num w:numId="18">
    <w:abstractNumId w:val="9"/>
  </w:num>
  <w:num w:numId="19">
    <w:abstractNumId w:val="11"/>
  </w:num>
  <w:num w:numId="20">
    <w:abstractNumId w:val="31"/>
  </w:num>
  <w:num w:numId="21">
    <w:abstractNumId w:val="25"/>
  </w:num>
  <w:num w:numId="22">
    <w:abstractNumId w:val="37"/>
  </w:num>
  <w:num w:numId="23">
    <w:abstractNumId w:val="33"/>
  </w:num>
  <w:num w:numId="24">
    <w:abstractNumId w:val="23"/>
  </w:num>
  <w:num w:numId="25">
    <w:abstractNumId w:val="4"/>
  </w:num>
  <w:num w:numId="26">
    <w:abstractNumId w:val="3"/>
  </w:num>
  <w:num w:numId="27">
    <w:abstractNumId w:val="12"/>
  </w:num>
  <w:num w:numId="28">
    <w:abstractNumId w:val="30"/>
  </w:num>
  <w:num w:numId="29">
    <w:abstractNumId w:val="29"/>
  </w:num>
  <w:num w:numId="30">
    <w:abstractNumId w:val="36"/>
  </w:num>
  <w:num w:numId="31">
    <w:abstractNumId w:val="39"/>
  </w:num>
  <w:num w:numId="32">
    <w:abstractNumId w:val="24"/>
  </w:num>
  <w:num w:numId="33">
    <w:abstractNumId w:val="17"/>
  </w:num>
  <w:num w:numId="34">
    <w:abstractNumId w:val="10"/>
  </w:num>
  <w:num w:numId="35">
    <w:abstractNumId w:val="18"/>
  </w:num>
  <w:num w:numId="36">
    <w:abstractNumId w:val="6"/>
  </w:num>
  <w:num w:numId="37">
    <w:abstractNumId w:val="27"/>
  </w:num>
  <w:num w:numId="38">
    <w:abstractNumId w:val="22"/>
  </w:num>
  <w:num w:numId="39">
    <w:abstractNumId w:val="15"/>
  </w:num>
  <w:num w:numId="40">
    <w:abstractNumId w:val="26"/>
  </w:num>
  <w:num w:numId="41">
    <w:abstractNumId w:val="34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6FE"/>
    <w:rsid w:val="000020F8"/>
    <w:rsid w:val="00005973"/>
    <w:rsid w:val="00005B46"/>
    <w:rsid w:val="00005C94"/>
    <w:rsid w:val="00014802"/>
    <w:rsid w:val="0001524E"/>
    <w:rsid w:val="000202DA"/>
    <w:rsid w:val="00026748"/>
    <w:rsid w:val="00031A85"/>
    <w:rsid w:val="00032CDD"/>
    <w:rsid w:val="000342E8"/>
    <w:rsid w:val="00041D22"/>
    <w:rsid w:val="0004372B"/>
    <w:rsid w:val="000508C1"/>
    <w:rsid w:val="00053E40"/>
    <w:rsid w:val="00057C73"/>
    <w:rsid w:val="00061299"/>
    <w:rsid w:val="00062C40"/>
    <w:rsid w:val="00071507"/>
    <w:rsid w:val="000730E6"/>
    <w:rsid w:val="00075AB1"/>
    <w:rsid w:val="00077BB1"/>
    <w:rsid w:val="000832AB"/>
    <w:rsid w:val="00083E89"/>
    <w:rsid w:val="000916FE"/>
    <w:rsid w:val="000942A2"/>
    <w:rsid w:val="000B029A"/>
    <w:rsid w:val="000B2111"/>
    <w:rsid w:val="000C10CE"/>
    <w:rsid w:val="000C4219"/>
    <w:rsid w:val="000C4519"/>
    <w:rsid w:val="000D5DE7"/>
    <w:rsid w:val="000D6D0A"/>
    <w:rsid w:val="000F4D49"/>
    <w:rsid w:val="0010621E"/>
    <w:rsid w:val="001150F5"/>
    <w:rsid w:val="0011524F"/>
    <w:rsid w:val="00121509"/>
    <w:rsid w:val="00131A74"/>
    <w:rsid w:val="001339B1"/>
    <w:rsid w:val="00137418"/>
    <w:rsid w:val="00143703"/>
    <w:rsid w:val="001460A6"/>
    <w:rsid w:val="001474B7"/>
    <w:rsid w:val="00151050"/>
    <w:rsid w:val="00162E7A"/>
    <w:rsid w:val="00163B08"/>
    <w:rsid w:val="00164053"/>
    <w:rsid w:val="00180887"/>
    <w:rsid w:val="00183F69"/>
    <w:rsid w:val="0019053E"/>
    <w:rsid w:val="0019412F"/>
    <w:rsid w:val="001951C0"/>
    <w:rsid w:val="0019549E"/>
    <w:rsid w:val="001962A2"/>
    <w:rsid w:val="001A4F58"/>
    <w:rsid w:val="001B1677"/>
    <w:rsid w:val="001B3949"/>
    <w:rsid w:val="001B5734"/>
    <w:rsid w:val="001D14AE"/>
    <w:rsid w:val="001E06FE"/>
    <w:rsid w:val="001F419D"/>
    <w:rsid w:val="002136EE"/>
    <w:rsid w:val="002152D9"/>
    <w:rsid w:val="00223E96"/>
    <w:rsid w:val="00227C6F"/>
    <w:rsid w:val="00232962"/>
    <w:rsid w:val="00232E4E"/>
    <w:rsid w:val="00237218"/>
    <w:rsid w:val="00243D5F"/>
    <w:rsid w:val="00256A00"/>
    <w:rsid w:val="00261ABB"/>
    <w:rsid w:val="00264BAD"/>
    <w:rsid w:val="00273FB7"/>
    <w:rsid w:val="002903AF"/>
    <w:rsid w:val="002A6F96"/>
    <w:rsid w:val="002B308A"/>
    <w:rsid w:val="002C12D4"/>
    <w:rsid w:val="002C1B73"/>
    <w:rsid w:val="002C4D1C"/>
    <w:rsid w:val="002C4F90"/>
    <w:rsid w:val="002D069B"/>
    <w:rsid w:val="002D589A"/>
    <w:rsid w:val="002D5C67"/>
    <w:rsid w:val="002E2955"/>
    <w:rsid w:val="002E4F85"/>
    <w:rsid w:val="002E52AC"/>
    <w:rsid w:val="0030016A"/>
    <w:rsid w:val="003001F5"/>
    <w:rsid w:val="00304B71"/>
    <w:rsid w:val="0030631E"/>
    <w:rsid w:val="0031249A"/>
    <w:rsid w:val="003162B2"/>
    <w:rsid w:val="00316DE3"/>
    <w:rsid w:val="003429F2"/>
    <w:rsid w:val="00354A28"/>
    <w:rsid w:val="00361A2F"/>
    <w:rsid w:val="00380722"/>
    <w:rsid w:val="00396923"/>
    <w:rsid w:val="003A41CB"/>
    <w:rsid w:val="003B262D"/>
    <w:rsid w:val="003B472C"/>
    <w:rsid w:val="003C00A8"/>
    <w:rsid w:val="003C0595"/>
    <w:rsid w:val="003C559D"/>
    <w:rsid w:val="003D0986"/>
    <w:rsid w:val="003D2326"/>
    <w:rsid w:val="003E345A"/>
    <w:rsid w:val="003E52C4"/>
    <w:rsid w:val="003E5E1C"/>
    <w:rsid w:val="00402826"/>
    <w:rsid w:val="004146C2"/>
    <w:rsid w:val="00417E2D"/>
    <w:rsid w:val="0042134B"/>
    <w:rsid w:val="004238EA"/>
    <w:rsid w:val="004358B2"/>
    <w:rsid w:val="00437C13"/>
    <w:rsid w:val="00440E44"/>
    <w:rsid w:val="004440F0"/>
    <w:rsid w:val="004475F8"/>
    <w:rsid w:val="004773BB"/>
    <w:rsid w:val="00486E92"/>
    <w:rsid w:val="004A7CF6"/>
    <w:rsid w:val="004B4C77"/>
    <w:rsid w:val="004D38CE"/>
    <w:rsid w:val="004E15BA"/>
    <w:rsid w:val="004F338B"/>
    <w:rsid w:val="004F41BB"/>
    <w:rsid w:val="004F776C"/>
    <w:rsid w:val="005048CA"/>
    <w:rsid w:val="00521333"/>
    <w:rsid w:val="00531EE3"/>
    <w:rsid w:val="00534055"/>
    <w:rsid w:val="00535ABB"/>
    <w:rsid w:val="00536236"/>
    <w:rsid w:val="005369C1"/>
    <w:rsid w:val="005425C8"/>
    <w:rsid w:val="00547939"/>
    <w:rsid w:val="005547F4"/>
    <w:rsid w:val="00561ABF"/>
    <w:rsid w:val="00563850"/>
    <w:rsid w:val="0056695D"/>
    <w:rsid w:val="0057086A"/>
    <w:rsid w:val="005726A7"/>
    <w:rsid w:val="00575DCE"/>
    <w:rsid w:val="005776DC"/>
    <w:rsid w:val="00584B3E"/>
    <w:rsid w:val="0059497A"/>
    <w:rsid w:val="005970FD"/>
    <w:rsid w:val="005C0B5F"/>
    <w:rsid w:val="005C46F1"/>
    <w:rsid w:val="005D4205"/>
    <w:rsid w:val="005E23DA"/>
    <w:rsid w:val="005F6B20"/>
    <w:rsid w:val="00601D4E"/>
    <w:rsid w:val="00614279"/>
    <w:rsid w:val="00633E69"/>
    <w:rsid w:val="00636CFA"/>
    <w:rsid w:val="0064181E"/>
    <w:rsid w:val="00641B99"/>
    <w:rsid w:val="00646549"/>
    <w:rsid w:val="006514E2"/>
    <w:rsid w:val="0065167C"/>
    <w:rsid w:val="006530AC"/>
    <w:rsid w:val="0065387C"/>
    <w:rsid w:val="006613EF"/>
    <w:rsid w:val="00667960"/>
    <w:rsid w:val="00682CBE"/>
    <w:rsid w:val="0069581E"/>
    <w:rsid w:val="006A6086"/>
    <w:rsid w:val="006B1F77"/>
    <w:rsid w:val="006B3E96"/>
    <w:rsid w:val="006C42D0"/>
    <w:rsid w:val="006F0588"/>
    <w:rsid w:val="006F59F1"/>
    <w:rsid w:val="00706C16"/>
    <w:rsid w:val="0071184D"/>
    <w:rsid w:val="007178B4"/>
    <w:rsid w:val="00721129"/>
    <w:rsid w:val="0072189D"/>
    <w:rsid w:val="00726792"/>
    <w:rsid w:val="00732B7A"/>
    <w:rsid w:val="0073585E"/>
    <w:rsid w:val="007407EE"/>
    <w:rsid w:val="00745C98"/>
    <w:rsid w:val="007662F3"/>
    <w:rsid w:val="0077733E"/>
    <w:rsid w:val="00785CAA"/>
    <w:rsid w:val="007A0EE6"/>
    <w:rsid w:val="007A1320"/>
    <w:rsid w:val="007A4948"/>
    <w:rsid w:val="007C0065"/>
    <w:rsid w:val="007C6B07"/>
    <w:rsid w:val="007D51AC"/>
    <w:rsid w:val="007E1C86"/>
    <w:rsid w:val="007E481A"/>
    <w:rsid w:val="007E79D7"/>
    <w:rsid w:val="007F088B"/>
    <w:rsid w:val="007F18FF"/>
    <w:rsid w:val="00804AA7"/>
    <w:rsid w:val="0081262B"/>
    <w:rsid w:val="008407E0"/>
    <w:rsid w:val="00843EDE"/>
    <w:rsid w:val="00860147"/>
    <w:rsid w:val="00863C97"/>
    <w:rsid w:val="00863E60"/>
    <w:rsid w:val="00876395"/>
    <w:rsid w:val="00884F81"/>
    <w:rsid w:val="00887BA5"/>
    <w:rsid w:val="00892FFB"/>
    <w:rsid w:val="0089398B"/>
    <w:rsid w:val="008B18F8"/>
    <w:rsid w:val="008B6125"/>
    <w:rsid w:val="008D0010"/>
    <w:rsid w:val="008D28FD"/>
    <w:rsid w:val="008D473D"/>
    <w:rsid w:val="008D5FBB"/>
    <w:rsid w:val="008F3DE6"/>
    <w:rsid w:val="009119CC"/>
    <w:rsid w:val="00912496"/>
    <w:rsid w:val="00922824"/>
    <w:rsid w:val="00924DA8"/>
    <w:rsid w:val="00926A94"/>
    <w:rsid w:val="009274E0"/>
    <w:rsid w:val="00940073"/>
    <w:rsid w:val="009422C6"/>
    <w:rsid w:val="0094328A"/>
    <w:rsid w:val="009513D0"/>
    <w:rsid w:val="00951E53"/>
    <w:rsid w:val="00952A82"/>
    <w:rsid w:val="00961224"/>
    <w:rsid w:val="009635ED"/>
    <w:rsid w:val="00966BC7"/>
    <w:rsid w:val="00972B97"/>
    <w:rsid w:val="009839F1"/>
    <w:rsid w:val="009B0752"/>
    <w:rsid w:val="009B4AE2"/>
    <w:rsid w:val="009C05E6"/>
    <w:rsid w:val="009D0A4E"/>
    <w:rsid w:val="009D0AA1"/>
    <w:rsid w:val="009D1D70"/>
    <w:rsid w:val="009D6F82"/>
    <w:rsid w:val="009E1D1B"/>
    <w:rsid w:val="009E5DC4"/>
    <w:rsid w:val="009F1ADD"/>
    <w:rsid w:val="00A00DFB"/>
    <w:rsid w:val="00A078E5"/>
    <w:rsid w:val="00A1044D"/>
    <w:rsid w:val="00A163C7"/>
    <w:rsid w:val="00A2019D"/>
    <w:rsid w:val="00A20275"/>
    <w:rsid w:val="00A31EC2"/>
    <w:rsid w:val="00A449D4"/>
    <w:rsid w:val="00A45D0F"/>
    <w:rsid w:val="00A50E30"/>
    <w:rsid w:val="00A53A09"/>
    <w:rsid w:val="00A61E98"/>
    <w:rsid w:val="00A83362"/>
    <w:rsid w:val="00A910B0"/>
    <w:rsid w:val="00A96647"/>
    <w:rsid w:val="00A96DA0"/>
    <w:rsid w:val="00AA3DFF"/>
    <w:rsid w:val="00AA6B95"/>
    <w:rsid w:val="00AA6F54"/>
    <w:rsid w:val="00AA7D88"/>
    <w:rsid w:val="00AC1C5B"/>
    <w:rsid w:val="00AE7729"/>
    <w:rsid w:val="00AF66FB"/>
    <w:rsid w:val="00B07757"/>
    <w:rsid w:val="00B163F6"/>
    <w:rsid w:val="00B176F5"/>
    <w:rsid w:val="00B32065"/>
    <w:rsid w:val="00B400AD"/>
    <w:rsid w:val="00B43DCB"/>
    <w:rsid w:val="00B53933"/>
    <w:rsid w:val="00B7695B"/>
    <w:rsid w:val="00B8568D"/>
    <w:rsid w:val="00B85FDB"/>
    <w:rsid w:val="00B86C81"/>
    <w:rsid w:val="00B935D7"/>
    <w:rsid w:val="00B97E06"/>
    <w:rsid w:val="00BA4FAC"/>
    <w:rsid w:val="00BA5DB1"/>
    <w:rsid w:val="00BC50AB"/>
    <w:rsid w:val="00BD04A5"/>
    <w:rsid w:val="00BD0F30"/>
    <w:rsid w:val="00BD2311"/>
    <w:rsid w:val="00BD698A"/>
    <w:rsid w:val="00BE57CC"/>
    <w:rsid w:val="00C064F9"/>
    <w:rsid w:val="00C201B9"/>
    <w:rsid w:val="00C20FC1"/>
    <w:rsid w:val="00C24157"/>
    <w:rsid w:val="00C2536B"/>
    <w:rsid w:val="00C30311"/>
    <w:rsid w:val="00C37B64"/>
    <w:rsid w:val="00C42385"/>
    <w:rsid w:val="00C43BBE"/>
    <w:rsid w:val="00C5065B"/>
    <w:rsid w:val="00C60318"/>
    <w:rsid w:val="00C65F87"/>
    <w:rsid w:val="00C6715C"/>
    <w:rsid w:val="00C935F3"/>
    <w:rsid w:val="00C937E5"/>
    <w:rsid w:val="00C9784B"/>
    <w:rsid w:val="00CA2E61"/>
    <w:rsid w:val="00CA3590"/>
    <w:rsid w:val="00CC29AE"/>
    <w:rsid w:val="00CC4E12"/>
    <w:rsid w:val="00CD74C3"/>
    <w:rsid w:val="00CE4F2D"/>
    <w:rsid w:val="00CF5676"/>
    <w:rsid w:val="00D020DE"/>
    <w:rsid w:val="00D06803"/>
    <w:rsid w:val="00D11A39"/>
    <w:rsid w:val="00D216AB"/>
    <w:rsid w:val="00D30F1D"/>
    <w:rsid w:val="00D34A7D"/>
    <w:rsid w:val="00D427C0"/>
    <w:rsid w:val="00D44424"/>
    <w:rsid w:val="00D5619B"/>
    <w:rsid w:val="00D718D9"/>
    <w:rsid w:val="00D72445"/>
    <w:rsid w:val="00D84421"/>
    <w:rsid w:val="00D86A49"/>
    <w:rsid w:val="00D94E4E"/>
    <w:rsid w:val="00DB300F"/>
    <w:rsid w:val="00DC6623"/>
    <w:rsid w:val="00DC69F7"/>
    <w:rsid w:val="00DD4118"/>
    <w:rsid w:val="00DE0169"/>
    <w:rsid w:val="00DE480B"/>
    <w:rsid w:val="00DE4F75"/>
    <w:rsid w:val="00DF7785"/>
    <w:rsid w:val="00DF79E5"/>
    <w:rsid w:val="00E115DD"/>
    <w:rsid w:val="00E242AA"/>
    <w:rsid w:val="00E279DD"/>
    <w:rsid w:val="00E35A3F"/>
    <w:rsid w:val="00E44A31"/>
    <w:rsid w:val="00E47525"/>
    <w:rsid w:val="00E5153A"/>
    <w:rsid w:val="00E64AF6"/>
    <w:rsid w:val="00E66386"/>
    <w:rsid w:val="00E6702B"/>
    <w:rsid w:val="00E730F9"/>
    <w:rsid w:val="00E7330A"/>
    <w:rsid w:val="00E903FB"/>
    <w:rsid w:val="00E935FB"/>
    <w:rsid w:val="00EC1000"/>
    <w:rsid w:val="00EC3022"/>
    <w:rsid w:val="00EC583C"/>
    <w:rsid w:val="00ED1ACF"/>
    <w:rsid w:val="00EE19C0"/>
    <w:rsid w:val="00EE6590"/>
    <w:rsid w:val="00EE65A1"/>
    <w:rsid w:val="00EE798E"/>
    <w:rsid w:val="00EF1636"/>
    <w:rsid w:val="00EF416D"/>
    <w:rsid w:val="00EF62F1"/>
    <w:rsid w:val="00F00987"/>
    <w:rsid w:val="00F12F2C"/>
    <w:rsid w:val="00F1646B"/>
    <w:rsid w:val="00F25C25"/>
    <w:rsid w:val="00F2621D"/>
    <w:rsid w:val="00F344E9"/>
    <w:rsid w:val="00F4528F"/>
    <w:rsid w:val="00F47458"/>
    <w:rsid w:val="00F51307"/>
    <w:rsid w:val="00F92113"/>
    <w:rsid w:val="00FA549E"/>
    <w:rsid w:val="00FB5258"/>
    <w:rsid w:val="00FC2A17"/>
    <w:rsid w:val="00FD65CE"/>
    <w:rsid w:val="00FD7684"/>
    <w:rsid w:val="00FE2AD6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29D804A"/>
  <w15:chartTrackingRefBased/>
  <w15:docId w15:val="{6EEFC633-9C4A-4C2C-93B7-EBBA17FF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77BB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paragraph" w:styleId="Normlnweb">
    <w:name w:val="Normal (Web)"/>
    <w:basedOn w:val="Normln"/>
    <w:uiPriority w:val="99"/>
    <w:unhideWhenUsed/>
    <w:rsid w:val="006B1F77"/>
    <w:pPr>
      <w:spacing w:before="100" w:beforeAutospacing="1" w:after="100" w:afterAutospacing="1"/>
    </w:pPr>
    <w:rPr>
      <w:rFonts w:eastAsia="Calibri"/>
    </w:rPr>
  </w:style>
  <w:style w:type="character" w:styleId="Siln">
    <w:name w:val="Strong"/>
    <w:uiPriority w:val="22"/>
    <w:qFormat/>
    <w:rsid w:val="006B1F77"/>
    <w:rPr>
      <w:b/>
      <w:bCs/>
    </w:rPr>
  </w:style>
  <w:style w:type="character" w:customStyle="1" w:styleId="Zkladntext2Char">
    <w:name w:val="Základní text 2 Char"/>
    <w:link w:val="Zkladntext2"/>
    <w:rsid w:val="00FD65CE"/>
    <w:rPr>
      <w:color w:val="0000FF"/>
      <w:sz w:val="24"/>
    </w:rPr>
  </w:style>
  <w:style w:type="character" w:styleId="Odkaznakoment">
    <w:name w:val="annotation reference"/>
    <w:uiPriority w:val="99"/>
    <w:semiHidden/>
    <w:unhideWhenUsed/>
    <w:rsid w:val="006B3E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E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E9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E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B3E96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077BB1"/>
    <w:rPr>
      <w:rFonts w:asciiTheme="minorHAnsi" w:eastAsiaTheme="minorEastAsia" w:hAnsiTheme="minorHAnsi" w:cstheme="minorBidi"/>
      <w:sz w:val="24"/>
      <w:szCs w:val="24"/>
    </w:rPr>
  </w:style>
  <w:style w:type="paragraph" w:customStyle="1" w:styleId="nadpiszkona">
    <w:name w:val="nadpis zákona"/>
    <w:basedOn w:val="Normln"/>
    <w:next w:val="Normln"/>
    <w:rsid w:val="00077BB1"/>
    <w:pPr>
      <w:keepNext/>
      <w:keepLines/>
      <w:spacing w:before="120"/>
      <w:jc w:val="center"/>
      <w:outlineLvl w:val="0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0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26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94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81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18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8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07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34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6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4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68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82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6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860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20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3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70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28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421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3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91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37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3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1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4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1335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Veronika Kmentová</cp:lastModifiedBy>
  <cp:revision>11</cp:revision>
  <cp:lastPrinted>2019-02-25T12:21:00Z</cp:lastPrinted>
  <dcterms:created xsi:type="dcterms:W3CDTF">2024-08-20T05:33:00Z</dcterms:created>
  <dcterms:modified xsi:type="dcterms:W3CDTF">2024-08-21T11:23:00Z</dcterms:modified>
</cp:coreProperties>
</file>