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both"/>
        <w:rPr>
          <w:b w:val="1"/>
          <w:color w:val="ee0000"/>
          <w:u w:val="single"/>
        </w:rPr>
      </w:pPr>
      <w:r w:rsidDel="00000000" w:rsidR="00000000" w:rsidRPr="00000000">
        <w:rPr>
          <w:b w:val="1"/>
          <w:color w:val="ee0000"/>
          <w:u w:val="single"/>
          <w:rtl w:val="0"/>
        </w:rPr>
        <w:t xml:space="preserve">Lokalita Bukovanská – zadání pro develop. – spolupráce nebo prodej lokality k výstavbě – stanovení podmínek – pracovní verze</w:t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 Cíl zadání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Cílem je vybudování území lokality Bukovanská, dotvoření území polyfunkční městskou strukturou, bytové zástavby a stanovení dopravní a technické infrastruktury a občanské vybavenosti a vymezit veřejné prostranství. Cílem je vytvořit podmínky pro vyvážený a udržitelný rozvoj dané lokality s ohledem na budoucí navýšení počtu obyvatel,  záměry soukromých investorů, stanovení limitů budoucí výstavby a umístění odpovídající veřejné vybavenosti a služeb.</w:t>
      </w:r>
    </w:p>
    <w:p w:rsidR="00000000" w:rsidDel="00000000" w:rsidP="00000000" w:rsidRDefault="00000000" w:rsidRPr="00000000" w14:paraId="0000000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 Řešené území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Řešené území je o velikosti cca 9 ha a nachází se v západní části katastrálního území města Kyjova při silnici II/432. Zejména se jedná o pozemky ve vlastnictví města Kyjova a pozemky soukromých subjektů, které nyní slouží pro zemědělskou výrobu. V dané lokalitě se nyní nenachází žádné stavby, pouze inženýrské sítě. Terén je mírně svažitý, v sousedství se nachází areál nemocnice.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Územním plánem se jedná o plochy pro bydlení (Z1 Bi), plochy smíšené obytné (Z3 SO) a plochy sídelní zeleně (Z5 Zi) s plochy veřejného prostranství (Z7, Z8, Z9 PV). Dále se zde jedná o plochy zemědělské specifické – rekreační (PD).</w:t>
      </w:r>
    </w:p>
    <w:p w:rsidR="00000000" w:rsidDel="00000000" w:rsidP="00000000" w:rsidRDefault="00000000" w:rsidRPr="00000000" w14:paraId="00000008">
      <w:pPr>
        <w:jc w:val="right"/>
        <w:rPr>
          <w:i w:val="1"/>
        </w:rPr>
      </w:pPr>
      <w:r w:rsidDel="00000000" w:rsidR="00000000" w:rsidRPr="00000000">
        <w:rPr>
          <w:i w:val="1"/>
          <w:rtl w:val="0"/>
        </w:rPr>
        <w:t xml:space="preserve">Výřez z ÚP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-4054</wp:posOffset>
            </wp:positionH>
            <wp:positionV relativeFrom="paragraph">
              <wp:posOffset>202086</wp:posOffset>
            </wp:positionV>
            <wp:extent cx="5776904" cy="2956756"/>
            <wp:effectExtent b="0" l="0" r="0" t="0"/>
            <wp:wrapNone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6904" cy="29567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i w:val="1"/>
        </w:rPr>
      </w:pPr>
      <w:r w:rsidDel="00000000" w:rsidR="00000000" w:rsidRPr="00000000">
        <w:rPr>
          <w:i w:val="1"/>
          <w:rtl w:val="0"/>
        </w:rPr>
        <w:t xml:space="preserve">Majetková mapa – pozemky města</w:t>
      </w:r>
      <w:r w:rsidDel="00000000" w:rsidR="00000000" w:rsidRPr="00000000">
        <w:pict>
          <v:shape id="_x0000_s1027" style="position:absolute;left:0;text-align:left;margin-left:0.0pt;margin-top:16.3pt;width:453.75pt;height:220.1pt;z-index:-251655168;mso-position-horizontal-relative:margin;mso-position-vertical-relative:text;mso-position-horizontal:absolute;mso-position-vertical:absolute;" type="#_x0000_t75">
            <v:imagedata r:id="rId1" o:title="Majetková mapa - pozemky města"/>
          </v:shape>
        </w:pic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Majetková část – podmínky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Město Kyjov v roce 2020 bezúplatně získalo do svého vlastnictví pozemky parc. č. 4044/291 a 4044/289, které dříve byly ve vlastnictví České republiky – Státního pozemkového úřadu. 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Dle podmínek ve smlouvě o bezúplatném převodu č. 1005992024, jejímž předmětem je pozemek parc. č. 4044/289, se </w:t>
      </w:r>
      <w:r w:rsidDel="00000000" w:rsidR="00000000" w:rsidRPr="00000000">
        <w:rPr>
          <w:u w:val="single"/>
          <w:rtl w:val="0"/>
        </w:rPr>
        <w:t xml:space="preserve">musí zachovat účel převodu 10 let</w:t>
      </w:r>
      <w:r w:rsidDel="00000000" w:rsidR="00000000" w:rsidRPr="00000000">
        <w:rPr>
          <w:rtl w:val="0"/>
        </w:rPr>
        <w:t xml:space="preserve"> – zastavění veřejně prospěšnou stavbou a stavbou pro bydlení (označení 3, 4). Dle podmínek ve smlouvě o bezúplatném převodu pozemku (označení 1) se zřízením služebnosti stezky a cesty č. 1002991924 pro pozemek parc. č. 4044/291 </w:t>
      </w:r>
      <w:r w:rsidDel="00000000" w:rsidR="00000000" w:rsidRPr="00000000">
        <w:rPr>
          <w:u w:val="single"/>
          <w:rtl w:val="0"/>
        </w:rPr>
        <w:t xml:space="preserve">se musí zachovat účel převodu na 10 let</w:t>
      </w:r>
      <w:r w:rsidDel="00000000" w:rsidR="00000000" w:rsidRPr="00000000">
        <w:rPr>
          <w:rtl w:val="0"/>
        </w:rPr>
        <w:t xml:space="preserve"> – realizace veřejné zeleně, popř. související dopravní infrastruktura a dále je zde zřízeno věcné břemeno pro přístup a příjezd na zbývající pozemky SPÚ, které městu nebyly převedeny. Pozemek parc. č. 4044/290 je v majetku Státního pozemkového úřadu, který umožní vybudování pouze místní komunikace na základě smlouvy. Zde je </w:t>
      </w:r>
      <w:r w:rsidDel="00000000" w:rsidR="00000000" w:rsidRPr="00000000">
        <w:rPr>
          <w:u w:val="single"/>
          <w:rtl w:val="0"/>
        </w:rPr>
        <w:t xml:space="preserve">nutná komunikace</w:t>
      </w:r>
      <w:r w:rsidDel="00000000" w:rsidR="00000000" w:rsidRPr="00000000">
        <w:rPr>
          <w:rtl w:val="0"/>
        </w:rPr>
        <w:t xml:space="preserve"> se Státním pozemkovým úřadem. Pozemky označené č. 5, 6, 7 a 8 zůstávají ve vlastnictví Státního pozemkového úřadu, nelze převést.</w:t>
      </w:r>
    </w:p>
    <w:p w:rsidR="00000000" w:rsidDel="00000000" w:rsidP="00000000" w:rsidRDefault="00000000" w:rsidRPr="00000000" w14:paraId="0000001F">
      <w:pPr>
        <w:jc w:val="both"/>
        <w:rPr/>
      </w:pPr>
      <w:bookmarkStart w:colFirst="0" w:colLast="0" w:name="_heading=h.2falgd7930ul" w:id="0"/>
      <w:bookmarkEnd w:id="0"/>
      <w:r w:rsidDel="00000000" w:rsidR="00000000" w:rsidRPr="00000000">
        <w:rPr>
          <w:rtl w:val="0"/>
        </w:rPr>
        <w:t xml:space="preserve">Dále se v lokalitě nachází pozemky parc. č. 4044/3, 4044/48 ve vlastnictví společnosti CENTRUM KYJOV s.r.o. a pozemek parc. č. 4044/87, jehož spoluvlastníky jsou Ludvík Bystřický a Marta Bystřická (1/2) a Karel Forman (1/2). Zde je podmínka, že vlastníci těchto nemovitostí dostanou v rámci reparcelace svých pozemků pozemek úměrně k velikosti svých původních nemovitostí v dané lokalitě. 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8" style="position:absolute;left:0;text-align:left;margin-left:0.65pt;margin-top:77.4pt;width:453.75pt;height:258.8pt;z-index:-251653120;mso-position-horizontal-relative:margin;mso-position-vertical-relative:text;mso-position-horizontal:absolute;mso-position-vertical:absolute;" type="#_x0000_t75">
            <v:imagedata r:id="rId2" o:title="Bukovanská - pozemek od SPÚ (stav po převodu)leden 2021"/>
          </v:shape>
        </w:pic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b w:val="1"/>
          <w:strike w:val="1"/>
        </w:rPr>
      </w:pPr>
      <w:r w:rsidDel="00000000" w:rsidR="00000000" w:rsidRPr="00000000">
        <w:rPr>
          <w:b w:val="1"/>
          <w:rtl w:val="0"/>
        </w:rPr>
        <w:t xml:space="preserve">4. Požadavky na obsah řešení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Respektovat vymezené hodnoty území, veškeré děje, činnosti a zařízení musí zachovat kvalitu urbanistického, architektonického a přírodního prostředí, nesmí zde být umístěny stavby, které by znehodnotily svým architektonickým ztvárněním, objemovými parametry, vzhledem, účinky provozu a použitými materiály hodnoty území, jejich prostředí a estetické působení v prostoru sídel a krajiny.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 Využití území – regulační podmínky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  <w:rtl w:val="0"/>
        </w:rPr>
        <w:t xml:space="preserve">Urbanistická struktura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pro zájmové území bude řešeno zejména následující: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4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parcelace ploch, plochy pozemků, podíl zastavěnosti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stanovení podmínek pro umístění a prostorové uspořádání zástavby: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 zástavby rozdělena na 3 části  - polyfunkční zástavba, bytová zástavba a zástavba v RD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charakter zástavby je zastoupen dvěma typy – otevřená (volně stojící zástavba) a sevřená (řadová zástavba). V případě dohody je možno tento stav samostatně posoudit a stanovit odlišnou formu zástavby. Tento případ je nutno písemně zdokumentovat dle příslušných ustanovení stavebního zákona a předpisů souvisejících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107303</wp:posOffset>
            </wp:positionH>
            <wp:positionV relativeFrom="paragraph">
              <wp:posOffset>705485</wp:posOffset>
            </wp:positionV>
            <wp:extent cx="5756910" cy="4273550"/>
            <wp:effectExtent b="0" l="0" r="0" t="0"/>
            <wp:wrapSquare wrapText="bothSides" distB="0" distT="0" distL="114300" distR="114300"/>
            <wp:docPr descr="Prostorové regulace" id="5" name="image6.jpg"/>
            <a:graphic>
              <a:graphicData uri="http://schemas.openxmlformats.org/drawingml/2006/picture">
                <pic:pic>
                  <pic:nvPicPr>
                    <pic:cNvPr descr="Prostorové regulace"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73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620395</wp:posOffset>
            </wp:positionH>
            <wp:positionV relativeFrom="paragraph">
              <wp:posOffset>4352290</wp:posOffset>
            </wp:positionV>
            <wp:extent cx="4721225" cy="1874520"/>
            <wp:effectExtent b="0" l="0" r="0" t="0"/>
            <wp:wrapNone/>
            <wp:docPr descr="Prostorové regulace legenda" id="8" name="image5.jpg"/>
            <a:graphic>
              <a:graphicData uri="http://schemas.openxmlformats.org/drawingml/2006/picture">
                <pic:pic>
                  <pic:nvPicPr>
                    <pic:cNvPr descr="Prostorové regulace legenda"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1874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podmínky pro umístění zástavby na pozemcích: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21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respektovat podmínky prostorového uspořádání u navržených ploch,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21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výšková regulace zástavby - maximálně však 4 NP + podkroví nebo další podlaží (5 NP) za podmínky, že bude řešeno vhodným architektonickým ztvárněním (např. ustupující podlaží…) a nedojde k narušení hodnot území.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stavební čáry a uliční čáry jsou jasně definovány, před uliční čáru může předstupovat a je přípustná pouze střešní římska s okapem a svody uličního sedla sedlové střechy, případně samonosná stříška bez podpor nad vstupem, případně kryté parkovací stání pro 1 osobní automobil. Krytým parkovacím stáním se rozumí zastřešená konstrukce s maximálně jednou boční samonosnou stěnou z lehké konstrukce.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b05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této stavební čáry bude umístěna hlavní a dominantní hmota objektu rodinného domu.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Není přípustná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menší předsazená hmota objektu.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zadní maximální hranice zastavitelnosti pozemku souvislou hlavní hmotou objektu RD na 5 m od zadní společné hranice pozemků v bloku – v tomto pásu přípustné pouze doplňkové stavby k hlavnímu objektu RD.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59" w:lineRule="auto"/>
        <w:ind w:left="21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min. odstupy od společných majetkových hranic jsou stanoveny na 2m mezi stavebními parcelami a 3,5m od boční hranice s VP.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3"/>
        </w:numPr>
        <w:spacing w:after="0" w:line="240" w:lineRule="auto"/>
        <w:ind w:left="2190" w:hanging="360"/>
        <w:jc w:val="both"/>
        <w:rPr/>
      </w:pPr>
      <w:r w:rsidDel="00000000" w:rsidR="00000000" w:rsidRPr="00000000">
        <w:rPr>
          <w:rtl w:val="0"/>
        </w:rPr>
        <w:t xml:space="preserve">nová výstavba v navrhovaných zastavitelných plochách a plochách přestavby smí být prováděna až po vybudování inženýrských sítí s napojením na stávající sítě, především na splaškovou kanalizaci a vodovod; tam, kde stávající sítě nejsou vybudovány, je nutno řešit likvidaci splaškových vod s ohledem na konkrétní navrženou zastavitelnou plochu už s první stavbou v této ploše.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3"/>
        </w:numPr>
        <w:spacing w:after="0" w:line="240" w:lineRule="auto"/>
        <w:ind w:left="2190" w:hanging="360"/>
        <w:jc w:val="both"/>
        <w:rPr/>
      </w:pPr>
      <w:r w:rsidDel="00000000" w:rsidR="00000000" w:rsidRPr="00000000">
        <w:rPr>
          <w:rtl w:val="0"/>
        </w:rPr>
        <w:t xml:space="preserve">respektovat vymezené hodnoty území, veškeré děje, činnosti a zařízení musí zachovat kvalitu urbanistického, architektonického a přírodního prostředí, nesmí zde být umístěny stavby, které by znehodnotily svým architektonickým ztvárněním, objemovými parametry, vzhledem, účinky provozu a použitými materiály hodnoty území, jejich prostředí a estetické působení v prostoru sídel a krajiny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59" w:lineRule="auto"/>
        <w:ind w:left="21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nutnost prověření hlukové zátěže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doporučeno zástavbu v lokalitě řešit tak, aby do volné krajiny byly situovány zahrady a zeleň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způsob zastřešení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Střechy RD u otevřené i sevřené zástavby budou řešeny jako ploché o maximálním sklonu do 3°, pultové a sedlové střechy s hřebenem rovnoběžným se stavební čarou nad hlavní hmotou objektu o minimálním sklonu 20°.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Střechy RD u otevřené zástavby budou v případě využití podkroví či půdního prostoru řešeny jako sedlové nebo valbové s hřebenem nad hlavní uliční hmotou objektu rovnoběžným se stavební čarou; sklon střech v tomto případě je stanoven na min. 20°.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Nepřípustné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jsou střechy mansardové a stanové, lesklé střešní krytiny a krytiny typu bonský šindel.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řešení parkování vozidel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985" w:right="0" w:firstLine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Nejsou povoleny jakékoliv úpravy povrchů veřejného prostoru pro účely zřizování dalších parkovacích míst či ho pro parkování neřízeně využívat. V rámci výstavby objektu rodinného domu musí investor zabezpečit parkování a odstavování vozidel následovně: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496" w:right="0" w:firstLine="335.9999999999999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Otevřená zástavba: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52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minimálně 1 parkovací stání v garáži rodinného domu či krytém parkovacím stání vedle objektu rodinného domu (dle stavebně technického řešení objektu RD) a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52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minimálně 1 parkovací stání uvnitř parcely vedle hlavního objektu RD a bočním oplocením na vnitřních zpevněných plochách v majetku stavebníka a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552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minimálně 1 parkovací stání v rámci zbytkového prostoru parcely před objektem rodinného domu a oplocením na pozemku v majetku stavebníka</w:t>
      </w:r>
    </w:p>
    <w:p w:rsidR="00000000" w:rsidDel="00000000" w:rsidP="00000000" w:rsidRDefault="00000000" w:rsidRPr="00000000" w14:paraId="00000055">
      <w:pPr>
        <w:ind w:left="2484" w:firstLine="347.99999999999983"/>
        <w:jc w:val="both"/>
        <w:rPr/>
      </w:pPr>
      <w:r w:rsidDel="00000000" w:rsidR="00000000" w:rsidRPr="00000000">
        <w:rPr>
          <w:rtl w:val="0"/>
        </w:rPr>
        <w:t xml:space="preserve">Sevřená zástavba: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52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 parkovací stání v garáži rodinného domu nebo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52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vnitřních RD minimálně 2 parkovací stání před objektem rodinného domu a uliční majetkovou hranicí na pozemku v majetku stavebníka a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52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krajových rodinných domů 1 parkovací stání vedle hlavního objektu RD za bočním oplocením na vnitřních zpevněných plochách a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552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minimálně 1 parkovací stání před objektem rodinného domu a uliční majetkovou hraní na pozemku v majetku stavebníka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5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parkovací stání bude realizováno z betonové dlažby zabezpečující zasakování srážkových vod.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5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5"/>
        </w:numPr>
        <w:spacing w:after="0" w:line="240" w:lineRule="auto"/>
        <w:ind w:left="2835" w:hanging="425"/>
        <w:jc w:val="both"/>
        <w:rPr/>
      </w:pPr>
      <w:r w:rsidDel="00000000" w:rsidR="00000000" w:rsidRPr="00000000">
        <w:rPr>
          <w:rtl w:val="0"/>
        </w:rPr>
        <w:t xml:space="preserve">při hromadné výstavbě nových bytů se vyžaduje vybudování minimálně jednoho odstavného stání na jednu  bytovou jednotku.</w:t>
      </w:r>
    </w:p>
    <w:p w:rsidR="00000000" w:rsidDel="00000000" w:rsidP="00000000" w:rsidRDefault="00000000" w:rsidRPr="00000000" w14:paraId="0000005D">
      <w:pPr>
        <w:widowControl w:val="0"/>
        <w:spacing w:after="0" w:line="240" w:lineRule="auto"/>
        <w:ind w:left="283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materiálové a barevné řešení bude odpovídat charakteru příměstské zástavby, zejména použití střešní krytiny, barevnost fasád, barevnost otvorových prvků a podobně. Nepřípustné jsou křiklavé a syté barevné odstíny fasád.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možnosti dalšího příslušenství v podobě zejména: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doplňkových staveb - výstavba doplňkových staveb ke stavbě rodinných domů v řešené lokalitě bude podléhat ustanovením územního plánu obce a ustanovení § 21 vyhlášky č. 501/2006 Sb.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134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oplocení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pozici majetkoprávních hranic stavební parcely,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oplocení před stavební čárou není přípustné,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krajových objektů je možné pozemky oplotit v pokračování stavební čáry objektů RD,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 dvorní části za objektem RD je možno pozemky oplotit v zadní a boční poloze do majetkoprávní hranice,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oplocení do veřejného prostranství a koridorů bude maximální výšky 1,4 m od upraveného terénu, který bude ve stejné úrovni jak z venkovní, tak z vnitřní strany oplocení,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obou typech zástavby je možné zaplocení do ploch krajinné zeleně a sousedních zahrad stavebních parcel, které bude vycházet ze situace a z dohody vlastníků těchto pozemků,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oplocení bude mít tvaroslovný charakter stejný jak hlavní hmota rodinného domu (materiály, měřítko, barevnost, rytmus apod.),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13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není přípustné oplocení z neprůhledných velkoplošných prefabrikovaných dílců.</w:t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3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136" w:right="0" w:firstLine="0"/>
        <w:jc w:val="righ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Graficky vyjádřené některé prostorové a situační regulační zásady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88901</wp:posOffset>
            </wp:positionH>
            <wp:positionV relativeFrom="paragraph">
              <wp:posOffset>210340</wp:posOffset>
            </wp:positionV>
            <wp:extent cx="5756910" cy="2827020"/>
            <wp:effectExtent b="0" l="0" r="0" t="0"/>
            <wp:wrapSquare wrapText="bothSides" distB="0" distT="0" distL="114300" distR="114300"/>
            <wp:docPr descr="Prostorové regulace řez" id="6" name="image3.jpg"/>
            <a:graphic>
              <a:graphicData uri="http://schemas.openxmlformats.org/drawingml/2006/picture">
                <pic:pic>
                  <pic:nvPicPr>
                    <pic:cNvPr descr="Prostorové regulace řez"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270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D">
      <w:pPr>
        <w:jc w:val="both"/>
        <w:rPr/>
      </w:pPr>
      <w:r w:rsidDel="00000000" w:rsidR="00000000" w:rsidRPr="00000000">
        <w:rPr>
          <w:color w:val="ff0000"/>
          <w:u w:val="single"/>
          <w:rtl w:val="0"/>
        </w:rPr>
        <w:t xml:space="preserve">Veřejné prostranství a zeleně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-  pro zájmové území bude řešeno zejména následující: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podporu a rozvoj komunitního života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regenerace kvality s předpokladem sociálních kontaktů – např. obchodní ulice, tržnice, odpočinkové plochy pro oddych, místa pro setkávání občanů aj.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vymezit plochy pro společenskou a rekreační funkci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výsadbu zeleně tak, aby tato navazovala na systém zeleně v okolí, při výsadbě preferovat domácí dřeviny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realizovat dostatečný počet veřejných parkovacích míst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šetrné hospodaření s dešťovými vodami s ohledem na geologické poměry území, jejich zachycování, zasakování a zpětné využití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a pohledové odclonění nádob pro svoz komunálního odpadu, prověřit variantu podzemních kontejnerů na odpad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color w:val="ff0000"/>
          <w:u w:val="single"/>
          <w:rtl w:val="0"/>
        </w:rPr>
        <w:t xml:space="preserve">Dopravní infrastruktura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– pro zájmové území bude řešeno zejména následující: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stanovení systému dopravní obsluhy tak, aby tento odpovídal charakteru území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" w:right="0" w:hanging="141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obsluha zastavitelných ploch Z1, Z3, Z5 bude napojena z ulice Pod Kohoutkem, která bude v rámci přípravy realizace v této lokalitě revitalizována dle potřebných šířkových a technických požadavků.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" w:right="0" w:hanging="141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příjezd bude řešen v koridoru veřejného prostranství v šířce min. 12m a v prostoru pozemků budoucí zástavby bude řešen hlavní uliční prostor pro obsluhu celé lokality.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" w:right="0" w:hanging="141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komunikace bude dvoupruhová obousměrná.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" w:right="0" w:hanging="141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 vhodných místech budou podél komunikace navržena podélná a kolmá parkovací stání.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" w:right="0" w:hanging="141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hlavní řády potřebných inženýrských sítí budou řešeny v uličním prostoru v komunikaci dle požadovaného šířkového a technického řešení.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" w:right="0" w:hanging="141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obslužné místní komunikace pro napojení vlastních nově vzniklých parcel pro výstavbu RD budou v šířkách veřejného prostotu od 8 – do 10 m.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" w:right="0" w:hanging="141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konci zástavby bude zřízeno obratiště s tím, že výhledově bude v rámci dalších záměrů možno pokračovat s napojením nových ploch – současně je toto neuzavření možným propojením do krajiny.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" w:right="0" w:hanging="141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vozovka komunikace bude navržena s živičným krytem, parkovací stání s krytem z betonové dlažby zabezpečující zasakování srážkových vod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navrhnout optimální napojení ploch na stávající komunikační síť města řešení křižovatky nově vzniklé místní komunikace a krajské silnice II/432 - respektovat stabilizované a navržené plochy dopravní infrastruktury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vymezené pro průchod silnic I. až III. třídy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mimoúrovňové křížení se železnicí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řešení přístupu k zastávkám hromadné autobusové dopravy (v obou směrech)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dopravní dostupnost pro pěší a cyklisty (MK1) – propojení centra a dané lokality – chodníky o šířce 1,6m,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řešit parkování v území, nepřípustné jsou parkovací stání, odstavná stání a garáže pro nákladní automobily a autobusy a pro přívěsy těchto nákladních vozidel v plochách pro bydlení</w:t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color w:val="ff0000"/>
          <w:u w:val="single"/>
          <w:rtl w:val="0"/>
        </w:rPr>
        <w:t xml:space="preserve">Technická infrastruktura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– bude kladen důraz na řešení, které bude dlouhodobě udržitelné a ohleduplné k životnímu prostředí. Pro zájmové území bude řešeno zejména následující: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koncepce hospodaření s dešťovými vodami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řešit kanalizaci lokality -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navržena oddílná kanalizace, ostatní zastavitelné plochy budou napojeny v návaznosti na stávající systém kanalizace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řešit odtokové poměry v území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vyřešení střetů tras vodovodu a nadzemního vedení VN, vyřešit přeložky inženýrských sítí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síť veřejného osvětlení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místa pro odpady (varianta podzemních kontejnerů, popř. hnízda na TKO)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ochrana proti riziko hluku</w:t>
      </w:r>
    </w:p>
    <w:p w:rsidR="00000000" w:rsidDel="00000000" w:rsidP="00000000" w:rsidRDefault="00000000" w:rsidRPr="00000000" w14:paraId="0000008E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Etapizace</w:t>
      </w:r>
    </w:p>
    <w:p w:rsidR="00000000" w:rsidDel="00000000" w:rsidP="00000000" w:rsidRDefault="00000000" w:rsidRPr="00000000" w14:paraId="0000008F">
      <w:pPr>
        <w:jc w:val="both"/>
        <w:rPr/>
      </w:pPr>
      <w:r w:rsidDel="00000000" w:rsidR="00000000" w:rsidRPr="00000000">
        <w:rPr>
          <w:rtl w:val="0"/>
        </w:rPr>
        <w:t xml:space="preserve">Studie prověří vzájemnou podmíněnost staveb či opatření v řešeném území a vyplyne-li potřeba, bude navržena etapizace výstavby či navrhovaných opatření. Je nutnost předložit harmonogram etapizace.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Vztah k územně plánovací dokumentaci a koncepčním dokumentům města</w:t>
      </w:r>
    </w:p>
    <w:p w:rsidR="00000000" w:rsidDel="00000000" w:rsidP="00000000" w:rsidRDefault="00000000" w:rsidRPr="00000000" w14:paraId="00000092">
      <w:pPr>
        <w:jc w:val="both"/>
        <w:rPr/>
      </w:pPr>
      <w:r w:rsidDel="00000000" w:rsidR="00000000" w:rsidRPr="00000000">
        <w:rPr>
          <w:rtl w:val="0"/>
        </w:rPr>
        <w:t xml:space="preserve">Pro realizaci záměru v dané lokalitě je nutná studie – bude součástí záměru města. </w:t>
      </w:r>
    </w:p>
    <w:p w:rsidR="00000000" w:rsidDel="00000000" w:rsidP="00000000" w:rsidRDefault="00000000" w:rsidRPr="00000000" w14:paraId="00000093">
      <w:pPr>
        <w:jc w:val="both"/>
        <w:rPr/>
      </w:pPr>
      <w:r w:rsidDel="00000000" w:rsidR="00000000" w:rsidRPr="00000000">
        <w:rPr>
          <w:rtl w:val="0"/>
        </w:rPr>
        <w:t xml:space="preserve">Při zpracování územní studie budou respektovány základní zásady území obsažené v koncepci platného územního plánu města Kyjova. </w:t>
      </w:r>
    </w:p>
    <w:p w:rsidR="00000000" w:rsidDel="00000000" w:rsidP="00000000" w:rsidRDefault="00000000" w:rsidRPr="00000000" w14:paraId="00000094">
      <w:pPr>
        <w:ind w:left="426" w:firstLine="0"/>
        <w:jc w:val="both"/>
        <w:rPr>
          <w:color w:val="00b050"/>
          <w:u w:val="single"/>
        </w:rPr>
      </w:pPr>
      <w:r w:rsidDel="00000000" w:rsidR="00000000" w:rsidRPr="00000000">
        <w:rPr>
          <w:color w:val="00b050"/>
          <w:u w:val="single"/>
          <w:rtl w:val="0"/>
        </w:rPr>
        <w:t xml:space="preserve">V platném ÚP je uvedeno, pro Bi (Z1), následující:</w:t>
      </w:r>
    </w:p>
    <w:p w:rsidR="00000000" w:rsidDel="00000000" w:rsidP="00000000" w:rsidRDefault="00000000" w:rsidRPr="00000000" w14:paraId="00000095">
      <w:pPr>
        <w:ind w:left="426" w:firstLine="0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Hlavní využití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Pozemky staveb pro bydlení v rodinných domech.</w:t>
      </w:r>
    </w:p>
    <w:p w:rsidR="00000000" w:rsidDel="00000000" w:rsidP="00000000" w:rsidRDefault="00000000" w:rsidRPr="00000000" w14:paraId="00000097">
      <w:pPr>
        <w:ind w:left="426" w:firstLine="0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Přípustné</w:t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pozemky související dopravní a technické infrastruktury</w:t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pozemky veřejného občanského vybavení</w:t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pozemky veřejných prostranství, sídelní zeleně</w:t>
      </w:r>
    </w:p>
    <w:p w:rsidR="00000000" w:rsidDel="00000000" w:rsidP="00000000" w:rsidRDefault="00000000" w:rsidRPr="00000000" w14:paraId="0000009B">
      <w:p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426" w:firstLine="0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Nepřípustné</w:t>
      </w:r>
    </w:p>
    <w:p w:rsidR="00000000" w:rsidDel="00000000" w:rsidP="00000000" w:rsidRDefault="00000000" w:rsidRPr="00000000" w14:paraId="0000009D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nepřípustné je využití pro všechny druhy staveb, zařízení a činností, jejichž negativní účinky na veřejné zdraví v souhrnu kumulativních vlivů překračují imisní hygienický limit stanovený v prováděcích právních předpisech pro stávající chráněné prostory definované právními předpisy na úseku ochrany veřejného zdraví resp. ochrany zdraví před nepříznivými účinky hluku a vibrací a na hranici ploch s možností situovat chráněné prostory vymezené v územně plánovací dokumentaci, nebo takové důsledky vyvolávají druhotně</w:t>
      </w:r>
    </w:p>
    <w:p w:rsidR="00000000" w:rsidDel="00000000" w:rsidP="00000000" w:rsidRDefault="00000000" w:rsidRPr="00000000" w14:paraId="0000009E">
      <w:p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426" w:firstLine="0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Podmíněně přípustné</w:t>
      </w:r>
    </w:p>
    <w:p w:rsidR="00000000" w:rsidDel="00000000" w:rsidP="00000000" w:rsidRDefault="00000000" w:rsidRPr="00000000" w14:paraId="000000A0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komerční občanské vybavení, služby, turistická infrastruktura za podmínky, že nedojde k narušení pohody bydlení</w:t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další stavby a zařízení doplňující funkci bydlení, (např. doplňkové stavby ke stavbě hlavní, veřejná a soukromá hřiště, dětská hřiště, přístřešky, altány) za podmínky, že nesnižují kvalitu prostředí a pohodu bydlení ve vymezené ploše, jsou slučitelné s bydlením a slouží zejména obyvatelům v takto vymezené ploše.</w:t>
      </w:r>
    </w:p>
    <w:p w:rsidR="00000000" w:rsidDel="00000000" w:rsidP="00000000" w:rsidRDefault="00000000" w:rsidRPr="00000000" w14:paraId="000000A2">
      <w:pPr>
        <w:ind w:left="426" w:firstLine="0"/>
        <w:jc w:val="both"/>
        <w:rPr>
          <w:color w:val="00b0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426" w:firstLine="0"/>
        <w:jc w:val="both"/>
        <w:rPr>
          <w:color w:val="00b050"/>
          <w:u w:val="single"/>
        </w:rPr>
      </w:pPr>
      <w:r w:rsidDel="00000000" w:rsidR="00000000" w:rsidRPr="00000000">
        <w:rPr>
          <w:color w:val="00b050"/>
          <w:u w:val="single"/>
          <w:rtl w:val="0"/>
        </w:rPr>
        <w:t xml:space="preserve">V platném ÚP je uvedeno, pro PV, následující:</w:t>
      </w:r>
    </w:p>
    <w:p w:rsidR="00000000" w:rsidDel="00000000" w:rsidP="00000000" w:rsidRDefault="00000000" w:rsidRPr="00000000" w14:paraId="000000A4">
      <w:pPr>
        <w:ind w:left="426" w:firstLine="0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Hlavní využití</w:t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Pozemky veřejných prostranství.</w:t>
      </w:r>
    </w:p>
    <w:p w:rsidR="00000000" w:rsidDel="00000000" w:rsidP="00000000" w:rsidRDefault="00000000" w:rsidRPr="00000000" w14:paraId="000000A6">
      <w:p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426" w:firstLine="0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Přípustné</w:t>
      </w:r>
    </w:p>
    <w:p w:rsidR="00000000" w:rsidDel="00000000" w:rsidP="00000000" w:rsidRDefault="00000000" w:rsidRPr="00000000" w14:paraId="000000A8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náměstí, návsi, ulice s úpravami reagujícími na intenzivní pohyb pěších</w:t>
      </w:r>
    </w:p>
    <w:p w:rsidR="00000000" w:rsidDel="00000000" w:rsidP="00000000" w:rsidRDefault="00000000" w:rsidRPr="00000000" w14:paraId="000000A9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zastávky a zálivy hromadné dopravy</w:t>
      </w:r>
    </w:p>
    <w:p w:rsidR="00000000" w:rsidDel="00000000" w:rsidP="00000000" w:rsidRDefault="00000000" w:rsidRPr="00000000" w14:paraId="000000AA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cyklistické stezky, pěší stezky, odpočinkové plochy, dětská hřiště</w:t>
      </w:r>
    </w:p>
    <w:p w:rsidR="00000000" w:rsidDel="00000000" w:rsidP="00000000" w:rsidRDefault="00000000" w:rsidRPr="00000000" w14:paraId="000000AB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pozemky související sídelní zeleně</w:t>
      </w:r>
    </w:p>
    <w:p w:rsidR="00000000" w:rsidDel="00000000" w:rsidP="00000000" w:rsidRDefault="00000000" w:rsidRPr="00000000" w14:paraId="000000AC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pozemky související dopravní a technické infrastruktury</w:t>
      </w:r>
    </w:p>
    <w:p w:rsidR="00000000" w:rsidDel="00000000" w:rsidP="00000000" w:rsidRDefault="00000000" w:rsidRPr="00000000" w14:paraId="000000AD">
      <w:p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426" w:firstLine="0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Nepřípustné</w:t>
      </w:r>
    </w:p>
    <w:p w:rsidR="00000000" w:rsidDel="00000000" w:rsidP="00000000" w:rsidRDefault="00000000" w:rsidRPr="00000000" w14:paraId="000000AF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nepřípustné je využití pro všechny druhy staveb, zařízení a činností, jejichž negativní účinky na veřejné zdraví v souhrnu kumulativních vlivů překračují imisní hygienický limit stanovený v prováděcích právních předpisech pro stávající chráněné prostory definované právními předpisy na úseku ochrany veřejného zdraví resp. ochrany zdraví před nepříznivými účinky hluku a vibrací a na hranici ploch s možností situovat chráněné prostory vymezené v územně plánovací dokumentaci, nebo takové důsledky vyvolávají druhotně</w:t>
      </w:r>
    </w:p>
    <w:p w:rsidR="00000000" w:rsidDel="00000000" w:rsidP="00000000" w:rsidRDefault="00000000" w:rsidRPr="00000000" w14:paraId="000000B0">
      <w:p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left="426" w:firstLine="0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Podmíněně přípustné</w:t>
      </w:r>
    </w:p>
    <w:p w:rsidR="00000000" w:rsidDel="00000000" w:rsidP="00000000" w:rsidRDefault="00000000" w:rsidRPr="00000000" w14:paraId="000000B2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zařízení a aktivity přispívající k sociálním kontaktům, bezpečnému pohybu odpočinku osob (např. altány, veřejné WC, půjčovny sportovního vybavení, občerstvení s venkovním posezením, tržiště apod.) za podmínky, že svou funkcí a architektonickým výrazem odpovídají významu a charakteru daného prostoru</w:t>
      </w:r>
    </w:p>
    <w:p w:rsidR="00000000" w:rsidDel="00000000" w:rsidP="00000000" w:rsidRDefault="00000000" w:rsidRPr="00000000" w14:paraId="000000B3">
      <w:pPr>
        <w:numPr>
          <w:ilvl w:val="0"/>
          <w:numId w:val="2"/>
        </w:num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podzemní garáže za podmínky, že vjezdy a výjezdy nenaruší pěší provoz a nevytvoří dopravní závadu</w:t>
      </w:r>
    </w:p>
    <w:p w:rsidR="00000000" w:rsidDel="00000000" w:rsidP="00000000" w:rsidRDefault="00000000" w:rsidRPr="00000000" w14:paraId="000000B4">
      <w:p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jc w:val="both"/>
        <w:rPr>
          <w:color w:val="00b050"/>
        </w:rPr>
      </w:pPr>
      <w:r w:rsidDel="00000000" w:rsidR="00000000" w:rsidRPr="00000000">
        <w:rPr>
          <w:color w:val="00b050"/>
          <w:u w:val="single"/>
          <w:rtl w:val="0"/>
        </w:rPr>
        <w:t xml:space="preserve">Dále budou také zohledněny a případně upřesněny další dokumenty</w:t>
      </w:r>
      <w:r w:rsidDel="00000000" w:rsidR="00000000" w:rsidRPr="00000000">
        <w:rPr>
          <w:color w:val="00b050"/>
          <w:rtl w:val="0"/>
        </w:rPr>
        <w:t xml:space="preserve"> </w:t>
      </w:r>
    </w:p>
    <w:p w:rsidR="00000000" w:rsidDel="00000000" w:rsidP="00000000" w:rsidRDefault="00000000" w:rsidRPr="00000000" w14:paraId="000000B7">
      <w:pPr>
        <w:spacing w:after="0" w:line="240" w:lineRule="auto"/>
        <w:jc w:val="both"/>
        <w:rPr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budou dodrženy podmínky Státního pozemkového úřadu v rámci bezúplatných převodů nemovitostí – pozemky parc. č. 4044/290 a parc. č. 4044/291, oba v k.ú. Kyjov (podmínky stanoveny ve Smlouvě o bezúplatném převodu pozemku č. 1005992024 a ve smlouvě o bezúplatném převodu pozemku se zřízením služebnosti stezky a cesty).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Budou dodrženy podmínky uvedené v Zásadách pro výstavbu na území města Kyjova.</w:t>
      </w:r>
    </w:p>
    <w:p w:rsidR="00000000" w:rsidDel="00000000" w:rsidP="00000000" w:rsidRDefault="00000000" w:rsidRPr="00000000" w14:paraId="000000B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/>
      </w:pPr>
      <w:r w:rsidDel="00000000" w:rsidR="00000000" w:rsidRPr="00000000">
        <w:rPr>
          <w:rtl w:val="0"/>
        </w:rPr>
      </w:r>
    </w:p>
    <w:sectPr>
      <w:footerReference r:id="rId13" w:type="default"/>
      <w:pgSz w:h="16838" w:w="11906" w:orient="portrait"/>
      <w:pgMar w:bottom="1417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⮚"/>
      <w:lvlJc w:val="left"/>
      <w:pPr>
        <w:ind w:left="219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9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5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5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⮚"/>
      <w:lvlJc w:val="left"/>
      <w:pPr>
        <w:ind w:left="213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⮚"/>
      <w:lvlJc w:val="left"/>
      <w:pPr>
        <w:ind w:left="213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⮚"/>
      <w:lvlJc w:val="left"/>
      <w:pPr>
        <w:ind w:left="213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lowerLetter"/>
      <w:lvlText w:val="%1)"/>
      <w:lvlJc w:val="left"/>
      <w:pPr>
        <w:ind w:left="3552" w:hanging="360"/>
      </w:pPr>
      <w:rPr/>
    </w:lvl>
    <w:lvl w:ilvl="1">
      <w:start w:val="1"/>
      <w:numFmt w:val="lowerLetter"/>
      <w:lvlText w:val="%2."/>
      <w:lvlJc w:val="left"/>
      <w:pPr>
        <w:ind w:left="4272" w:hanging="360"/>
      </w:pPr>
      <w:rPr/>
    </w:lvl>
    <w:lvl w:ilvl="2">
      <w:start w:val="1"/>
      <w:numFmt w:val="lowerRoman"/>
      <w:lvlText w:val="%3."/>
      <w:lvlJc w:val="right"/>
      <w:pPr>
        <w:ind w:left="4992" w:hanging="180"/>
      </w:pPr>
      <w:rPr/>
    </w:lvl>
    <w:lvl w:ilvl="3">
      <w:start w:val="1"/>
      <w:numFmt w:val="decimal"/>
      <w:lvlText w:val="%4."/>
      <w:lvlJc w:val="left"/>
      <w:pPr>
        <w:ind w:left="5712" w:hanging="360"/>
      </w:pPr>
      <w:rPr/>
    </w:lvl>
    <w:lvl w:ilvl="4">
      <w:start w:val="1"/>
      <w:numFmt w:val="lowerLetter"/>
      <w:lvlText w:val="%5."/>
      <w:lvlJc w:val="left"/>
      <w:pPr>
        <w:ind w:left="6432" w:hanging="360"/>
      </w:pPr>
      <w:rPr/>
    </w:lvl>
    <w:lvl w:ilvl="5">
      <w:start w:val="1"/>
      <w:numFmt w:val="lowerRoman"/>
      <w:lvlText w:val="%6."/>
      <w:lvlJc w:val="right"/>
      <w:pPr>
        <w:ind w:left="7152" w:hanging="180"/>
      </w:pPr>
      <w:rPr/>
    </w:lvl>
    <w:lvl w:ilvl="6">
      <w:start w:val="1"/>
      <w:numFmt w:val="decimal"/>
      <w:lvlText w:val="%7."/>
      <w:lvlJc w:val="left"/>
      <w:pPr>
        <w:ind w:left="7872" w:hanging="360"/>
      </w:pPr>
      <w:rPr/>
    </w:lvl>
    <w:lvl w:ilvl="7">
      <w:start w:val="1"/>
      <w:numFmt w:val="lowerLetter"/>
      <w:lvlText w:val="%8."/>
      <w:lvlJc w:val="left"/>
      <w:pPr>
        <w:ind w:left="8592" w:hanging="360"/>
      </w:pPr>
      <w:rPr/>
    </w:lvl>
    <w:lvl w:ilvl="8">
      <w:start w:val="1"/>
      <w:numFmt w:val="lowerRoman"/>
      <w:lvlText w:val="%9."/>
      <w:lvlJc w:val="right"/>
      <w:pPr>
        <w:ind w:left="9312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lowerLetter"/>
      <w:lvlText w:val="%1)"/>
      <w:lvlJc w:val="left"/>
      <w:pPr>
        <w:ind w:left="3552" w:hanging="360"/>
      </w:pPr>
      <w:rPr/>
    </w:lvl>
    <w:lvl w:ilvl="1">
      <w:start w:val="1"/>
      <w:numFmt w:val="lowerLetter"/>
      <w:lvlText w:val="%2."/>
      <w:lvlJc w:val="left"/>
      <w:pPr>
        <w:ind w:left="4272" w:hanging="360"/>
      </w:pPr>
      <w:rPr/>
    </w:lvl>
    <w:lvl w:ilvl="2">
      <w:start w:val="1"/>
      <w:numFmt w:val="lowerRoman"/>
      <w:lvlText w:val="%3."/>
      <w:lvlJc w:val="right"/>
      <w:pPr>
        <w:ind w:left="4992" w:hanging="180"/>
      </w:pPr>
      <w:rPr/>
    </w:lvl>
    <w:lvl w:ilvl="3">
      <w:start w:val="1"/>
      <w:numFmt w:val="decimal"/>
      <w:lvlText w:val="%4."/>
      <w:lvlJc w:val="left"/>
      <w:pPr>
        <w:ind w:left="5712" w:hanging="360"/>
      </w:pPr>
      <w:rPr/>
    </w:lvl>
    <w:lvl w:ilvl="4">
      <w:start w:val="1"/>
      <w:numFmt w:val="lowerLetter"/>
      <w:lvlText w:val="%5."/>
      <w:lvlJc w:val="left"/>
      <w:pPr>
        <w:ind w:left="6432" w:hanging="360"/>
      </w:pPr>
      <w:rPr/>
    </w:lvl>
    <w:lvl w:ilvl="5">
      <w:start w:val="1"/>
      <w:numFmt w:val="lowerRoman"/>
      <w:lvlText w:val="%6."/>
      <w:lvlJc w:val="right"/>
      <w:pPr>
        <w:ind w:left="7152" w:hanging="180"/>
      </w:pPr>
      <w:rPr/>
    </w:lvl>
    <w:lvl w:ilvl="6">
      <w:start w:val="1"/>
      <w:numFmt w:val="decimal"/>
      <w:lvlText w:val="%7."/>
      <w:lvlJc w:val="left"/>
      <w:pPr>
        <w:ind w:left="7872" w:hanging="360"/>
      </w:pPr>
      <w:rPr/>
    </w:lvl>
    <w:lvl w:ilvl="7">
      <w:start w:val="1"/>
      <w:numFmt w:val="lowerLetter"/>
      <w:lvlText w:val="%8."/>
      <w:lvlJc w:val="left"/>
      <w:pPr>
        <w:ind w:left="8592" w:hanging="360"/>
      </w:pPr>
      <w:rPr/>
    </w:lvl>
    <w:lvl w:ilvl="8">
      <w:start w:val="1"/>
      <w:numFmt w:val="lowerRoman"/>
      <w:lvlText w:val="%9."/>
      <w:lvlJc w:val="right"/>
      <w:pPr>
        <w:ind w:left="9312" w:hanging="180"/>
      </w:pPr>
      <w:rPr/>
    </w:lvl>
  </w:abstractNum>
  <w:abstractNum w:abstractNumId="10">
    <w:lvl w:ilvl="0">
      <w:start w:val="0"/>
      <w:numFmt w:val="bullet"/>
      <w:lvlText w:val="-"/>
      <w:lvlJc w:val="left"/>
      <w:pPr>
        <w:ind w:left="3192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391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63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35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07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79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51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23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952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0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Odstavecseseznamem">
    <w:name w:val="List Paragraph"/>
    <w:basedOn w:val="Normln"/>
    <w:uiPriority w:val="34"/>
    <w:qFormat w:val="1"/>
    <w:rsid w:val="00BF49AB"/>
    <w:pPr>
      <w:ind w:left="720"/>
      <w:contextualSpacing w:val="1"/>
    </w:pPr>
  </w:style>
  <w:style w:type="paragraph" w:styleId="Default" w:customStyle="1">
    <w:name w:val="Default"/>
    <w:rsid w:val="00BF49AB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 w:val="1"/>
    <w:rsid w:val="002D63E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2D63EC"/>
  </w:style>
  <w:style w:type="paragraph" w:styleId="Zpat">
    <w:name w:val="footer"/>
    <w:basedOn w:val="Normln"/>
    <w:link w:val="ZpatChar"/>
    <w:uiPriority w:val="99"/>
    <w:unhideWhenUsed w:val="1"/>
    <w:rsid w:val="002D63E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2D63E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6.jpg"/><Relationship Id="rId13" Type="http://schemas.openxmlformats.org/officeDocument/2006/relationships/footer" Target="footer1.xml"/><Relationship Id="rId12" Type="http://schemas.openxmlformats.org/officeDocument/2006/relationships/image" Target="media/image3.jpg"/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824rH6vRD4gr7EeFSQG1FfhWaw==">CgMxLjAyDmguMmZhbGdkNzkzMHVsOAByITFGMmxzYVlzVmp3ZWZmQ1JyTW9UbFBLcy1ueHl4VGtLNg==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2025-05-15T07:13:00Z</dcterms:created>
  <dc:creator>Pavla Soukopová</dc:creator>
</cp:coreProperties>
</file>